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309" w:type="dxa"/>
        <w:tblInd w:w="-1139" w:type="dxa"/>
        <w:tblLook w:val="04A0" w:firstRow="1" w:lastRow="0" w:firstColumn="1" w:lastColumn="0" w:noHBand="0" w:noVBand="1"/>
      </w:tblPr>
      <w:tblGrid>
        <w:gridCol w:w="2127"/>
        <w:gridCol w:w="1547"/>
        <w:gridCol w:w="2477"/>
        <w:gridCol w:w="8166"/>
        <w:gridCol w:w="992"/>
      </w:tblGrid>
      <w:tr w:rsidR="00984093" w:rsidTr="00984093">
        <w:trPr>
          <w:trHeight w:val="586"/>
        </w:trPr>
        <w:tc>
          <w:tcPr>
            <w:tcW w:w="2127" w:type="dxa"/>
            <w:shd w:val="clear" w:color="auto" w:fill="D5DCE4" w:themeFill="text2" w:themeFillTint="33"/>
          </w:tcPr>
          <w:p w:rsidR="00984093" w:rsidRDefault="00984093" w:rsidP="00966678">
            <w:pPr>
              <w:rPr>
                <w:b/>
                <w:sz w:val="24"/>
                <w:szCs w:val="24"/>
              </w:rPr>
            </w:pPr>
            <w:bookmarkStart w:id="0" w:name="_GoBack"/>
            <w:bookmarkEnd w:id="0"/>
            <w:r w:rsidRPr="002F3D9E">
              <w:rPr>
                <w:b/>
                <w:sz w:val="24"/>
                <w:szCs w:val="24"/>
              </w:rPr>
              <w:t>Hoofdstuk 1</w:t>
            </w:r>
            <w:r>
              <w:rPr>
                <w:b/>
                <w:sz w:val="24"/>
                <w:szCs w:val="24"/>
              </w:rPr>
              <w:t xml:space="preserve"> </w:t>
            </w:r>
          </w:p>
          <w:p w:rsidR="00984093" w:rsidRPr="002F3D9E" w:rsidRDefault="00984093" w:rsidP="00966678">
            <w:pPr>
              <w:rPr>
                <w:b/>
                <w:sz w:val="16"/>
                <w:szCs w:val="16"/>
              </w:rPr>
            </w:pPr>
            <w:r>
              <w:rPr>
                <w:b/>
                <w:sz w:val="16"/>
                <w:szCs w:val="16"/>
              </w:rPr>
              <w:t>(Het voordeel van de twijfel)</w:t>
            </w:r>
          </w:p>
        </w:tc>
        <w:tc>
          <w:tcPr>
            <w:tcW w:w="1547" w:type="dxa"/>
            <w:shd w:val="clear" w:color="auto" w:fill="D5DCE4" w:themeFill="text2" w:themeFillTint="33"/>
          </w:tcPr>
          <w:p w:rsidR="00984093" w:rsidRPr="002F3D9E" w:rsidRDefault="00984093" w:rsidP="00966678">
            <w:pPr>
              <w:rPr>
                <w:b/>
                <w:sz w:val="24"/>
                <w:szCs w:val="24"/>
              </w:rPr>
            </w:pPr>
            <w:r w:rsidRPr="002F3D9E">
              <w:rPr>
                <w:b/>
                <w:sz w:val="24"/>
                <w:szCs w:val="24"/>
              </w:rPr>
              <w:t>Filosoof</w:t>
            </w:r>
            <w:r w:rsidRPr="002F3D9E">
              <w:rPr>
                <w:b/>
                <w:sz w:val="24"/>
                <w:szCs w:val="24"/>
              </w:rPr>
              <w:t xml:space="preserve"> </w:t>
            </w:r>
          </w:p>
        </w:tc>
        <w:tc>
          <w:tcPr>
            <w:tcW w:w="2477" w:type="dxa"/>
            <w:shd w:val="clear" w:color="auto" w:fill="D5DCE4" w:themeFill="text2" w:themeFillTint="33"/>
          </w:tcPr>
          <w:p w:rsidR="00984093" w:rsidRPr="002F3D9E" w:rsidRDefault="00984093" w:rsidP="00966678">
            <w:pPr>
              <w:rPr>
                <w:b/>
                <w:sz w:val="24"/>
                <w:szCs w:val="24"/>
              </w:rPr>
            </w:pPr>
            <w:r w:rsidRPr="002F3D9E">
              <w:rPr>
                <w:b/>
                <w:sz w:val="24"/>
                <w:szCs w:val="24"/>
              </w:rPr>
              <w:t>Concept</w:t>
            </w:r>
          </w:p>
        </w:tc>
        <w:tc>
          <w:tcPr>
            <w:tcW w:w="8166" w:type="dxa"/>
            <w:shd w:val="clear" w:color="auto" w:fill="D5DCE4" w:themeFill="text2" w:themeFillTint="33"/>
          </w:tcPr>
          <w:p w:rsidR="00984093" w:rsidRDefault="00984093" w:rsidP="00966678">
            <w:pPr>
              <w:rPr>
                <w:b/>
                <w:sz w:val="24"/>
                <w:szCs w:val="24"/>
              </w:rPr>
            </w:pPr>
            <w:r w:rsidRPr="002F3D9E">
              <w:rPr>
                <w:b/>
                <w:sz w:val="24"/>
                <w:szCs w:val="24"/>
              </w:rPr>
              <w:t>Eindtermen</w:t>
            </w:r>
            <w:r w:rsidRPr="002F3D9E">
              <w:rPr>
                <w:b/>
                <w:sz w:val="24"/>
                <w:szCs w:val="24"/>
              </w:rPr>
              <w:t xml:space="preserve"> Scepticisme</w:t>
            </w:r>
            <w:r>
              <w:rPr>
                <w:b/>
                <w:sz w:val="24"/>
                <w:szCs w:val="24"/>
              </w:rPr>
              <w:t xml:space="preserve">                                                                                                         </w:t>
            </w:r>
          </w:p>
        </w:tc>
        <w:tc>
          <w:tcPr>
            <w:tcW w:w="992" w:type="dxa"/>
            <w:shd w:val="clear" w:color="auto" w:fill="D5DCE4" w:themeFill="text2" w:themeFillTint="33"/>
          </w:tcPr>
          <w:p w:rsidR="00984093" w:rsidRPr="002F3D9E" w:rsidRDefault="00984093" w:rsidP="00966678">
            <w:pPr>
              <w:rPr>
                <w:b/>
                <w:sz w:val="24"/>
                <w:szCs w:val="24"/>
              </w:rPr>
            </w:pPr>
            <w:r>
              <w:rPr>
                <w:b/>
                <w:sz w:val="24"/>
                <w:szCs w:val="24"/>
              </w:rPr>
              <w:t>Check</w:t>
            </w:r>
          </w:p>
        </w:tc>
      </w:tr>
      <w:tr w:rsidR="00984093" w:rsidTr="00984093">
        <w:trPr>
          <w:trHeight w:val="1066"/>
        </w:trPr>
        <w:tc>
          <w:tcPr>
            <w:tcW w:w="2127" w:type="dxa"/>
            <w:vMerge w:val="restart"/>
            <w:shd w:val="clear" w:color="auto" w:fill="F2F2F2" w:themeFill="background1" w:themeFillShade="F2"/>
          </w:tcPr>
          <w:p w:rsidR="00984093" w:rsidRDefault="00984093" w:rsidP="00984093">
            <w:pPr>
              <w:rPr>
                <w:sz w:val="20"/>
                <w:szCs w:val="20"/>
              </w:rPr>
            </w:pPr>
            <w:r>
              <w:rPr>
                <w:sz w:val="20"/>
                <w:szCs w:val="20"/>
              </w:rPr>
              <w:t xml:space="preserve">I. </w:t>
            </w:r>
            <w:r w:rsidRPr="00984093">
              <w:rPr>
                <w:sz w:val="20"/>
                <w:szCs w:val="20"/>
              </w:rPr>
              <w:t>Algemene kennis</w:t>
            </w:r>
            <w:r w:rsidRPr="00984093">
              <w:rPr>
                <w:sz w:val="20"/>
                <w:szCs w:val="20"/>
              </w:rPr>
              <w:t xml:space="preserve"> &amp; vaardigheden</w:t>
            </w:r>
          </w:p>
          <w:p w:rsidR="00984093" w:rsidRP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Default="00984093" w:rsidP="00984093">
            <w:pPr>
              <w:rPr>
                <w:sz w:val="20"/>
                <w:szCs w:val="20"/>
              </w:rPr>
            </w:pPr>
          </w:p>
          <w:p w:rsidR="00984093" w:rsidRPr="00984093" w:rsidRDefault="00984093" w:rsidP="00984093">
            <w:pPr>
              <w:rPr>
                <w:sz w:val="20"/>
                <w:szCs w:val="20"/>
              </w:rPr>
            </w:pPr>
          </w:p>
        </w:tc>
        <w:tc>
          <w:tcPr>
            <w:tcW w:w="1547" w:type="dxa"/>
            <w:vMerge w:val="restart"/>
            <w:shd w:val="clear" w:color="auto" w:fill="F2F2F2" w:themeFill="background1" w:themeFillShade="F2"/>
          </w:tcPr>
          <w:p w:rsidR="00984093" w:rsidRPr="00984093" w:rsidRDefault="00984093" w:rsidP="00966678">
            <w:pPr>
              <w:rPr>
                <w:sz w:val="20"/>
                <w:szCs w:val="20"/>
              </w:rPr>
            </w:pPr>
            <w:r w:rsidRPr="00984093">
              <w:rPr>
                <w:sz w:val="20"/>
                <w:szCs w:val="20"/>
              </w:rPr>
              <w:t>Boek/docent</w:t>
            </w:r>
          </w:p>
        </w:tc>
        <w:tc>
          <w:tcPr>
            <w:tcW w:w="2477" w:type="dxa"/>
            <w:shd w:val="clear" w:color="auto" w:fill="F2F2F2" w:themeFill="background1" w:themeFillShade="F2"/>
          </w:tcPr>
          <w:p w:rsidR="00984093" w:rsidRPr="00984093" w:rsidRDefault="00984093" w:rsidP="00966678">
            <w:pPr>
              <w:rPr>
                <w:sz w:val="20"/>
                <w:szCs w:val="20"/>
              </w:rPr>
            </w:pPr>
            <w:r w:rsidRPr="00984093">
              <w:rPr>
                <w:sz w:val="20"/>
                <w:szCs w:val="20"/>
              </w:rPr>
              <w:t>Gerede twijfel</w:t>
            </w:r>
          </w:p>
        </w:tc>
        <w:tc>
          <w:tcPr>
            <w:tcW w:w="8166" w:type="dxa"/>
            <w:shd w:val="clear" w:color="auto" w:fill="F2F2F2" w:themeFill="background1" w:themeFillShade="F2"/>
          </w:tcPr>
          <w:p w:rsidR="00984093" w:rsidRPr="00984093" w:rsidRDefault="00984093" w:rsidP="00966678">
            <w:pPr>
              <w:rPr>
                <w:sz w:val="20"/>
                <w:szCs w:val="20"/>
              </w:rPr>
            </w:pPr>
            <w:r w:rsidRPr="00984093">
              <w:rPr>
                <w:sz w:val="20"/>
                <w:szCs w:val="20"/>
              </w:rPr>
              <w:t>4 De kandidaten kunnen aan de hand van een voorbeeld aangeven wat “gerede twijfel” inhoudt en uitleggen wat het verband is tussen “gerede twijfel” en een sceptische houding.</w:t>
            </w:r>
          </w:p>
          <w:p w:rsidR="00984093" w:rsidRPr="00984093" w:rsidRDefault="00984093" w:rsidP="00966678">
            <w:pPr>
              <w:rPr>
                <w:sz w:val="20"/>
                <w:szCs w:val="20"/>
              </w:rPr>
            </w:pPr>
          </w:p>
        </w:tc>
        <w:tc>
          <w:tcPr>
            <w:tcW w:w="992" w:type="dxa"/>
            <w:shd w:val="clear" w:color="auto" w:fill="F2F2F2" w:themeFill="background1" w:themeFillShade="F2"/>
          </w:tcPr>
          <w:p w:rsidR="00984093" w:rsidRDefault="00984093" w:rsidP="00966678"/>
        </w:tc>
      </w:tr>
      <w:tr w:rsidR="00984093" w:rsidTr="00984093">
        <w:trPr>
          <w:trHeight w:val="1066"/>
        </w:trPr>
        <w:tc>
          <w:tcPr>
            <w:tcW w:w="2127" w:type="dxa"/>
            <w:vMerge/>
            <w:shd w:val="clear" w:color="auto" w:fill="F2F2F2" w:themeFill="background1" w:themeFillShade="F2"/>
          </w:tcPr>
          <w:p w:rsidR="00984093" w:rsidRPr="00984093" w:rsidRDefault="00984093" w:rsidP="00966678">
            <w:pPr>
              <w:rPr>
                <w:sz w:val="20"/>
                <w:szCs w:val="20"/>
              </w:rPr>
            </w:pPr>
          </w:p>
        </w:tc>
        <w:tc>
          <w:tcPr>
            <w:tcW w:w="1547" w:type="dxa"/>
            <w:vMerge/>
            <w:shd w:val="clear" w:color="auto" w:fill="F2F2F2" w:themeFill="background1" w:themeFillShade="F2"/>
          </w:tcPr>
          <w:p w:rsidR="00984093" w:rsidRPr="00984093" w:rsidRDefault="00984093" w:rsidP="00966678">
            <w:pPr>
              <w:rPr>
                <w:sz w:val="20"/>
                <w:szCs w:val="20"/>
              </w:rPr>
            </w:pPr>
          </w:p>
        </w:tc>
        <w:tc>
          <w:tcPr>
            <w:tcW w:w="2477" w:type="dxa"/>
            <w:shd w:val="clear" w:color="auto" w:fill="F2F2F2" w:themeFill="background1" w:themeFillShade="F2"/>
          </w:tcPr>
          <w:p w:rsidR="00984093" w:rsidRPr="00984093" w:rsidRDefault="00984093" w:rsidP="00966678">
            <w:pPr>
              <w:rPr>
                <w:sz w:val="20"/>
                <w:szCs w:val="20"/>
              </w:rPr>
            </w:pPr>
            <w:r w:rsidRPr="00984093">
              <w:rPr>
                <w:sz w:val="20"/>
                <w:szCs w:val="20"/>
              </w:rPr>
              <w:t>Vormen van scepticisme</w:t>
            </w:r>
          </w:p>
        </w:tc>
        <w:tc>
          <w:tcPr>
            <w:tcW w:w="8166" w:type="dxa"/>
            <w:shd w:val="clear" w:color="auto" w:fill="F2F2F2" w:themeFill="background1" w:themeFillShade="F2"/>
          </w:tcPr>
          <w:p w:rsidR="00984093" w:rsidRPr="00984093" w:rsidRDefault="00984093" w:rsidP="00966678">
            <w:pPr>
              <w:rPr>
                <w:sz w:val="20"/>
                <w:szCs w:val="20"/>
              </w:rPr>
            </w:pPr>
            <w:r w:rsidRPr="00984093">
              <w:rPr>
                <w:sz w:val="20"/>
                <w:szCs w:val="20"/>
              </w:rPr>
              <w:t>5 De kandidaten kunnen uitleggen wat metafysisch, epistemologisch en conceptueel scepticisme inhouden en deze vormen van scepticisme toepassen, bekritiseren en evalueren. (A-2)</w:t>
            </w:r>
          </w:p>
          <w:p w:rsidR="00984093" w:rsidRPr="00984093" w:rsidRDefault="00984093" w:rsidP="00966678">
            <w:pPr>
              <w:rPr>
                <w:sz w:val="20"/>
                <w:szCs w:val="20"/>
              </w:rPr>
            </w:pPr>
          </w:p>
        </w:tc>
        <w:tc>
          <w:tcPr>
            <w:tcW w:w="992" w:type="dxa"/>
            <w:shd w:val="clear" w:color="auto" w:fill="F2F2F2" w:themeFill="background1" w:themeFillShade="F2"/>
          </w:tcPr>
          <w:p w:rsidR="00984093" w:rsidRDefault="00984093" w:rsidP="00966678"/>
        </w:tc>
      </w:tr>
      <w:tr w:rsidR="00984093" w:rsidTr="00984093">
        <w:trPr>
          <w:trHeight w:val="1066"/>
        </w:trPr>
        <w:tc>
          <w:tcPr>
            <w:tcW w:w="2127" w:type="dxa"/>
            <w:vMerge/>
            <w:shd w:val="clear" w:color="auto" w:fill="F2F2F2" w:themeFill="background1" w:themeFillShade="F2"/>
          </w:tcPr>
          <w:p w:rsidR="00984093" w:rsidRPr="00984093" w:rsidRDefault="00984093" w:rsidP="00966678">
            <w:pPr>
              <w:rPr>
                <w:sz w:val="20"/>
                <w:szCs w:val="20"/>
              </w:rPr>
            </w:pPr>
          </w:p>
        </w:tc>
        <w:tc>
          <w:tcPr>
            <w:tcW w:w="1547" w:type="dxa"/>
            <w:shd w:val="clear" w:color="auto" w:fill="F2F2F2" w:themeFill="background1" w:themeFillShade="F2"/>
          </w:tcPr>
          <w:p w:rsidR="00984093" w:rsidRPr="00984093" w:rsidRDefault="00984093" w:rsidP="00966678">
            <w:pPr>
              <w:rPr>
                <w:sz w:val="20"/>
                <w:szCs w:val="20"/>
              </w:rPr>
            </w:pPr>
            <w:r w:rsidRPr="00984093">
              <w:rPr>
                <w:sz w:val="20"/>
                <w:szCs w:val="20"/>
              </w:rPr>
              <w:t>Agrippa</w:t>
            </w:r>
          </w:p>
        </w:tc>
        <w:tc>
          <w:tcPr>
            <w:tcW w:w="2477" w:type="dxa"/>
            <w:shd w:val="clear" w:color="auto" w:fill="F2F2F2" w:themeFill="background1" w:themeFillShade="F2"/>
          </w:tcPr>
          <w:p w:rsidR="00984093" w:rsidRPr="00984093" w:rsidRDefault="00984093" w:rsidP="00966678">
            <w:pPr>
              <w:rPr>
                <w:sz w:val="20"/>
                <w:szCs w:val="20"/>
              </w:rPr>
            </w:pPr>
            <w:proofErr w:type="spellStart"/>
            <w:r w:rsidRPr="00984093">
              <w:rPr>
                <w:sz w:val="20"/>
                <w:szCs w:val="20"/>
              </w:rPr>
              <w:t>Trilemma</w:t>
            </w:r>
            <w:proofErr w:type="spellEnd"/>
          </w:p>
          <w:p w:rsidR="00984093" w:rsidRPr="00984093" w:rsidRDefault="00984093" w:rsidP="00966678">
            <w:pPr>
              <w:rPr>
                <w:sz w:val="20"/>
                <w:szCs w:val="20"/>
              </w:rPr>
            </w:pPr>
            <w:r w:rsidRPr="00984093">
              <w:rPr>
                <w:sz w:val="20"/>
                <w:szCs w:val="20"/>
              </w:rPr>
              <w:t>(</w:t>
            </w:r>
            <w:proofErr w:type="gramStart"/>
            <w:r w:rsidRPr="00984093">
              <w:rPr>
                <w:sz w:val="20"/>
                <w:szCs w:val="20"/>
              </w:rPr>
              <w:t>zie</w:t>
            </w:r>
            <w:proofErr w:type="gramEnd"/>
            <w:r w:rsidRPr="00984093">
              <w:rPr>
                <w:sz w:val="20"/>
                <w:szCs w:val="20"/>
              </w:rPr>
              <w:t xml:space="preserve"> ook de vijf tropen in Hoofdlijnen van het pyrronisme door </w:t>
            </w:r>
            <w:proofErr w:type="spellStart"/>
            <w:r w:rsidRPr="00984093">
              <w:rPr>
                <w:sz w:val="20"/>
                <w:szCs w:val="20"/>
              </w:rPr>
              <w:t>Sextus</w:t>
            </w:r>
            <w:proofErr w:type="spellEnd"/>
            <w:r w:rsidRPr="00984093">
              <w:rPr>
                <w:sz w:val="20"/>
                <w:szCs w:val="20"/>
              </w:rPr>
              <w:t xml:space="preserve"> Empiricus)</w:t>
            </w:r>
          </w:p>
          <w:p w:rsidR="00984093" w:rsidRPr="00984093" w:rsidRDefault="00984093" w:rsidP="00966678">
            <w:pPr>
              <w:rPr>
                <w:sz w:val="20"/>
                <w:szCs w:val="20"/>
              </w:rPr>
            </w:pPr>
          </w:p>
        </w:tc>
        <w:tc>
          <w:tcPr>
            <w:tcW w:w="8166" w:type="dxa"/>
            <w:shd w:val="clear" w:color="auto" w:fill="F2F2F2" w:themeFill="background1" w:themeFillShade="F2"/>
          </w:tcPr>
          <w:p w:rsidR="00984093" w:rsidRPr="00984093" w:rsidRDefault="00984093" w:rsidP="00966678">
            <w:pPr>
              <w:rPr>
                <w:sz w:val="20"/>
                <w:szCs w:val="20"/>
              </w:rPr>
            </w:pPr>
            <w:r w:rsidRPr="00984093">
              <w:rPr>
                <w:sz w:val="20"/>
                <w:szCs w:val="20"/>
              </w:rPr>
              <w:t xml:space="preserve">8 De kandidaten kunnen uitleggen wat het </w:t>
            </w:r>
            <w:proofErr w:type="spellStart"/>
            <w:r w:rsidRPr="00984093">
              <w:rPr>
                <w:sz w:val="20"/>
                <w:szCs w:val="20"/>
              </w:rPr>
              <w:t>trilemma</w:t>
            </w:r>
            <w:proofErr w:type="spellEnd"/>
            <w:r w:rsidRPr="00984093">
              <w:rPr>
                <w:sz w:val="20"/>
                <w:szCs w:val="20"/>
              </w:rPr>
              <w:t xml:space="preserve"> van Agrippa inhoudt en de drie opties die daarbij aan de orde zijn benoemen en evalueren. </w:t>
            </w:r>
          </w:p>
        </w:tc>
        <w:tc>
          <w:tcPr>
            <w:tcW w:w="992" w:type="dxa"/>
            <w:shd w:val="clear" w:color="auto" w:fill="F2F2F2" w:themeFill="background1" w:themeFillShade="F2"/>
          </w:tcPr>
          <w:p w:rsidR="00984093" w:rsidRDefault="00984093" w:rsidP="00966678"/>
        </w:tc>
      </w:tr>
      <w:tr w:rsidR="00984093" w:rsidTr="00984093">
        <w:trPr>
          <w:trHeight w:val="1066"/>
        </w:trPr>
        <w:tc>
          <w:tcPr>
            <w:tcW w:w="2127" w:type="dxa"/>
            <w:vMerge/>
            <w:shd w:val="clear" w:color="auto" w:fill="F2F2F2" w:themeFill="background1" w:themeFillShade="F2"/>
          </w:tcPr>
          <w:p w:rsidR="00984093" w:rsidRPr="00984093" w:rsidRDefault="00984093" w:rsidP="00966678">
            <w:pPr>
              <w:rPr>
                <w:sz w:val="20"/>
                <w:szCs w:val="20"/>
              </w:rPr>
            </w:pPr>
          </w:p>
        </w:tc>
        <w:tc>
          <w:tcPr>
            <w:tcW w:w="1547" w:type="dxa"/>
            <w:shd w:val="clear" w:color="auto" w:fill="F2F2F2" w:themeFill="background1" w:themeFillShade="F2"/>
          </w:tcPr>
          <w:p w:rsidR="00984093" w:rsidRPr="00984093" w:rsidRDefault="00984093" w:rsidP="00966678">
            <w:pPr>
              <w:rPr>
                <w:sz w:val="20"/>
                <w:szCs w:val="20"/>
              </w:rPr>
            </w:pPr>
            <w:proofErr w:type="spellStart"/>
            <w:r w:rsidRPr="00984093">
              <w:rPr>
                <w:sz w:val="20"/>
                <w:szCs w:val="20"/>
              </w:rPr>
              <w:t>Gorgias</w:t>
            </w:r>
            <w:proofErr w:type="spellEnd"/>
            <w:r w:rsidRPr="00984093">
              <w:rPr>
                <w:sz w:val="20"/>
                <w:szCs w:val="20"/>
              </w:rPr>
              <w:t xml:space="preserve"> van </w:t>
            </w:r>
            <w:proofErr w:type="spellStart"/>
            <w:r w:rsidRPr="00984093">
              <w:rPr>
                <w:sz w:val="20"/>
                <w:szCs w:val="20"/>
              </w:rPr>
              <w:t>Leontini</w:t>
            </w:r>
            <w:proofErr w:type="spellEnd"/>
          </w:p>
        </w:tc>
        <w:tc>
          <w:tcPr>
            <w:tcW w:w="2477" w:type="dxa"/>
            <w:shd w:val="clear" w:color="auto" w:fill="F2F2F2" w:themeFill="background1" w:themeFillShade="F2"/>
          </w:tcPr>
          <w:p w:rsidR="00984093" w:rsidRPr="00984093" w:rsidRDefault="00984093" w:rsidP="00966678">
            <w:pPr>
              <w:rPr>
                <w:sz w:val="20"/>
                <w:szCs w:val="20"/>
              </w:rPr>
            </w:pPr>
            <w:r w:rsidRPr="00984093">
              <w:rPr>
                <w:sz w:val="20"/>
                <w:szCs w:val="20"/>
              </w:rPr>
              <w:t>Kernboodschap</w:t>
            </w:r>
          </w:p>
        </w:tc>
        <w:tc>
          <w:tcPr>
            <w:tcW w:w="8166" w:type="dxa"/>
            <w:shd w:val="clear" w:color="auto" w:fill="F2F2F2" w:themeFill="background1" w:themeFillShade="F2"/>
          </w:tcPr>
          <w:p w:rsidR="00984093" w:rsidRPr="00984093" w:rsidRDefault="00984093" w:rsidP="00984093">
            <w:pPr>
              <w:rPr>
                <w:sz w:val="20"/>
                <w:szCs w:val="20"/>
              </w:rPr>
            </w:pPr>
            <w:r w:rsidRPr="00984093">
              <w:rPr>
                <w:i/>
                <w:sz w:val="20"/>
                <w:szCs w:val="20"/>
              </w:rPr>
              <w:t>“Niets bestaat, mocht er iets bestaan, dan kunnen we het niet kennen, en mochten we het wel kunnen kennen, dan kunnen we het niet mededelen.”</w:t>
            </w:r>
          </w:p>
        </w:tc>
        <w:tc>
          <w:tcPr>
            <w:tcW w:w="992" w:type="dxa"/>
            <w:shd w:val="clear" w:color="auto" w:fill="F2F2F2" w:themeFill="background1" w:themeFillShade="F2"/>
          </w:tcPr>
          <w:p w:rsidR="00984093" w:rsidRPr="002F3D9E" w:rsidRDefault="00984093" w:rsidP="00966678">
            <w:pPr>
              <w:rPr>
                <w:i/>
              </w:rPr>
            </w:pPr>
          </w:p>
        </w:tc>
      </w:tr>
      <w:tr w:rsidR="00984093" w:rsidTr="00984093">
        <w:trPr>
          <w:trHeight w:val="1066"/>
        </w:trPr>
        <w:tc>
          <w:tcPr>
            <w:tcW w:w="2127" w:type="dxa"/>
            <w:vMerge/>
            <w:shd w:val="clear" w:color="auto" w:fill="F2F2F2" w:themeFill="background1" w:themeFillShade="F2"/>
          </w:tcPr>
          <w:p w:rsidR="00984093" w:rsidRPr="00984093" w:rsidRDefault="00984093" w:rsidP="002177B0">
            <w:pPr>
              <w:rPr>
                <w:sz w:val="20"/>
                <w:szCs w:val="20"/>
              </w:rPr>
            </w:pPr>
          </w:p>
        </w:tc>
        <w:tc>
          <w:tcPr>
            <w:tcW w:w="1547" w:type="dxa"/>
            <w:shd w:val="clear" w:color="auto" w:fill="F2F2F2" w:themeFill="background1" w:themeFillShade="F2"/>
          </w:tcPr>
          <w:p w:rsidR="00984093" w:rsidRPr="00984093" w:rsidRDefault="00984093" w:rsidP="002F3D9E">
            <w:pPr>
              <w:rPr>
                <w:sz w:val="20"/>
                <w:szCs w:val="20"/>
              </w:rPr>
            </w:pPr>
            <w:r w:rsidRPr="00984093">
              <w:rPr>
                <w:sz w:val="20"/>
                <w:szCs w:val="20"/>
              </w:rPr>
              <w:t>Boek/docent</w:t>
            </w:r>
          </w:p>
        </w:tc>
        <w:tc>
          <w:tcPr>
            <w:tcW w:w="2477" w:type="dxa"/>
            <w:shd w:val="clear" w:color="auto" w:fill="F2F2F2" w:themeFill="background1" w:themeFillShade="F2"/>
          </w:tcPr>
          <w:p w:rsidR="00984093" w:rsidRPr="00984093" w:rsidRDefault="00984093" w:rsidP="002177B0">
            <w:pPr>
              <w:rPr>
                <w:sz w:val="20"/>
                <w:szCs w:val="20"/>
              </w:rPr>
            </w:pPr>
            <w:r w:rsidRPr="00984093">
              <w:rPr>
                <w:sz w:val="20"/>
                <w:szCs w:val="20"/>
              </w:rPr>
              <w:t>Gedachte-experimenten</w:t>
            </w:r>
          </w:p>
          <w:p w:rsidR="00984093" w:rsidRPr="00984093" w:rsidRDefault="00984093" w:rsidP="002177B0">
            <w:pPr>
              <w:pStyle w:val="Lijstalinea"/>
              <w:numPr>
                <w:ilvl w:val="0"/>
                <w:numId w:val="2"/>
              </w:numPr>
              <w:rPr>
                <w:sz w:val="20"/>
                <w:szCs w:val="20"/>
              </w:rPr>
            </w:pPr>
            <w:r w:rsidRPr="00984093">
              <w:rPr>
                <w:sz w:val="20"/>
                <w:szCs w:val="20"/>
              </w:rPr>
              <w:t>Tegen-feitelijk</w:t>
            </w:r>
          </w:p>
          <w:p w:rsidR="00984093" w:rsidRPr="00984093" w:rsidRDefault="00984093" w:rsidP="002177B0">
            <w:pPr>
              <w:pStyle w:val="Lijstalinea"/>
              <w:numPr>
                <w:ilvl w:val="0"/>
                <w:numId w:val="2"/>
              </w:numPr>
              <w:rPr>
                <w:sz w:val="20"/>
                <w:szCs w:val="20"/>
              </w:rPr>
            </w:pPr>
            <w:r w:rsidRPr="00984093">
              <w:rPr>
                <w:sz w:val="20"/>
                <w:szCs w:val="20"/>
              </w:rPr>
              <w:t>Conceptueel</w:t>
            </w:r>
          </w:p>
          <w:p w:rsidR="00984093" w:rsidRPr="00984093" w:rsidRDefault="00984093" w:rsidP="002177B0">
            <w:pPr>
              <w:pStyle w:val="Lijstalinea"/>
              <w:numPr>
                <w:ilvl w:val="0"/>
                <w:numId w:val="2"/>
              </w:numPr>
              <w:rPr>
                <w:sz w:val="20"/>
                <w:szCs w:val="20"/>
              </w:rPr>
            </w:pPr>
            <w:r w:rsidRPr="00984093">
              <w:rPr>
                <w:sz w:val="20"/>
                <w:szCs w:val="20"/>
              </w:rPr>
              <w:t>Evaluatief</w:t>
            </w:r>
          </w:p>
          <w:p w:rsidR="00984093" w:rsidRPr="00984093" w:rsidRDefault="00984093" w:rsidP="002177B0">
            <w:pPr>
              <w:rPr>
                <w:sz w:val="20"/>
                <w:szCs w:val="20"/>
              </w:rPr>
            </w:pPr>
          </w:p>
          <w:p w:rsidR="00984093" w:rsidRPr="00984093" w:rsidRDefault="00984093" w:rsidP="00976A96">
            <w:pPr>
              <w:rPr>
                <w:sz w:val="20"/>
                <w:szCs w:val="20"/>
              </w:rPr>
            </w:pPr>
            <w:r w:rsidRPr="00984093">
              <w:rPr>
                <w:sz w:val="20"/>
                <w:szCs w:val="20"/>
              </w:rPr>
              <w:t>Voor of tegen</w:t>
            </w:r>
          </w:p>
          <w:p w:rsidR="00984093" w:rsidRPr="00984093" w:rsidRDefault="00984093" w:rsidP="00976A96">
            <w:pPr>
              <w:rPr>
                <w:sz w:val="20"/>
                <w:szCs w:val="20"/>
              </w:rPr>
            </w:pPr>
          </w:p>
        </w:tc>
        <w:tc>
          <w:tcPr>
            <w:tcW w:w="8166" w:type="dxa"/>
            <w:shd w:val="clear" w:color="auto" w:fill="F2F2F2" w:themeFill="background1" w:themeFillShade="F2"/>
          </w:tcPr>
          <w:p w:rsidR="00984093" w:rsidRPr="00984093" w:rsidRDefault="00984093" w:rsidP="002177B0">
            <w:pPr>
              <w:rPr>
                <w:sz w:val="20"/>
                <w:szCs w:val="20"/>
              </w:rPr>
            </w:pPr>
            <w:r w:rsidRPr="00984093">
              <w:rPr>
                <w:sz w:val="20"/>
                <w:szCs w:val="20"/>
              </w:rPr>
              <w:t>16 De kandidaten kunnen het verschil uitleggen tussen tegen-feitelijke, conceptuele en evaluatieve gedachte-experimenten en aangeven welke rol ze spelen in argumentaties voor en tegen scepticisme.</w:t>
            </w:r>
          </w:p>
        </w:tc>
        <w:tc>
          <w:tcPr>
            <w:tcW w:w="992" w:type="dxa"/>
            <w:shd w:val="clear" w:color="auto" w:fill="F2F2F2" w:themeFill="background1" w:themeFillShade="F2"/>
          </w:tcPr>
          <w:p w:rsidR="00984093" w:rsidRDefault="00984093" w:rsidP="002177B0"/>
        </w:tc>
      </w:tr>
      <w:tr w:rsidR="00984093" w:rsidTr="00984093">
        <w:trPr>
          <w:trHeight w:val="1066"/>
        </w:trPr>
        <w:tc>
          <w:tcPr>
            <w:tcW w:w="2127" w:type="dxa"/>
            <w:vMerge/>
            <w:shd w:val="clear" w:color="auto" w:fill="F2F2F2" w:themeFill="background1" w:themeFillShade="F2"/>
          </w:tcPr>
          <w:p w:rsidR="00984093" w:rsidRPr="00984093" w:rsidRDefault="00984093" w:rsidP="002177B0">
            <w:pPr>
              <w:rPr>
                <w:sz w:val="20"/>
                <w:szCs w:val="20"/>
              </w:rPr>
            </w:pPr>
          </w:p>
        </w:tc>
        <w:tc>
          <w:tcPr>
            <w:tcW w:w="1547" w:type="dxa"/>
            <w:shd w:val="clear" w:color="auto" w:fill="F2F2F2" w:themeFill="background1" w:themeFillShade="F2"/>
          </w:tcPr>
          <w:p w:rsidR="00984093" w:rsidRPr="00984093" w:rsidRDefault="00984093" w:rsidP="002177B0">
            <w:pPr>
              <w:rPr>
                <w:sz w:val="20"/>
                <w:szCs w:val="20"/>
              </w:rPr>
            </w:pPr>
            <w:r w:rsidRPr="00984093">
              <w:rPr>
                <w:sz w:val="20"/>
                <w:szCs w:val="20"/>
              </w:rPr>
              <w:t>Docent</w:t>
            </w:r>
          </w:p>
        </w:tc>
        <w:tc>
          <w:tcPr>
            <w:tcW w:w="2477" w:type="dxa"/>
            <w:shd w:val="clear" w:color="auto" w:fill="F2F2F2" w:themeFill="background1" w:themeFillShade="F2"/>
          </w:tcPr>
          <w:p w:rsidR="00984093" w:rsidRPr="00984093" w:rsidRDefault="00984093" w:rsidP="002177B0">
            <w:pPr>
              <w:rPr>
                <w:sz w:val="20"/>
                <w:szCs w:val="20"/>
              </w:rPr>
            </w:pPr>
            <w:r w:rsidRPr="00984093">
              <w:rPr>
                <w:sz w:val="20"/>
                <w:szCs w:val="20"/>
              </w:rPr>
              <w:t>Problematiseren, herkennen, onderscheiden, uitleggen &amp; toepassen</w:t>
            </w:r>
          </w:p>
          <w:p w:rsidR="00984093" w:rsidRPr="00984093" w:rsidRDefault="00984093" w:rsidP="002177B0">
            <w:pPr>
              <w:pStyle w:val="Lijstalinea"/>
              <w:numPr>
                <w:ilvl w:val="0"/>
                <w:numId w:val="2"/>
              </w:numPr>
              <w:rPr>
                <w:sz w:val="20"/>
                <w:szCs w:val="20"/>
              </w:rPr>
            </w:pPr>
            <w:r w:rsidRPr="00984093">
              <w:rPr>
                <w:sz w:val="20"/>
                <w:szCs w:val="20"/>
              </w:rPr>
              <w:t>Pyrronisme</w:t>
            </w:r>
          </w:p>
          <w:p w:rsidR="00984093" w:rsidRPr="00984093" w:rsidRDefault="00984093" w:rsidP="002177B0">
            <w:pPr>
              <w:pStyle w:val="Lijstalinea"/>
              <w:numPr>
                <w:ilvl w:val="0"/>
                <w:numId w:val="2"/>
              </w:numPr>
              <w:rPr>
                <w:sz w:val="20"/>
                <w:szCs w:val="20"/>
              </w:rPr>
            </w:pPr>
            <w:r w:rsidRPr="00984093">
              <w:rPr>
                <w:sz w:val="20"/>
                <w:szCs w:val="20"/>
              </w:rPr>
              <w:t>Cartesiaanse wijze</w:t>
            </w:r>
          </w:p>
          <w:p w:rsidR="00984093" w:rsidRDefault="00984093" w:rsidP="00984093">
            <w:pPr>
              <w:pStyle w:val="Lijstalinea"/>
              <w:numPr>
                <w:ilvl w:val="0"/>
                <w:numId w:val="2"/>
              </w:numPr>
              <w:rPr>
                <w:sz w:val="20"/>
                <w:szCs w:val="20"/>
              </w:rPr>
            </w:pPr>
            <w:proofErr w:type="spellStart"/>
            <w:r w:rsidRPr="00984093">
              <w:rPr>
                <w:sz w:val="20"/>
                <w:szCs w:val="20"/>
              </w:rPr>
              <w:t>Humeaanse</w:t>
            </w:r>
            <w:proofErr w:type="spellEnd"/>
            <w:r w:rsidRPr="00984093">
              <w:rPr>
                <w:sz w:val="20"/>
                <w:szCs w:val="20"/>
              </w:rPr>
              <w:t xml:space="preserve"> wijze</w:t>
            </w:r>
          </w:p>
          <w:p w:rsidR="00984093" w:rsidRPr="00984093" w:rsidRDefault="00984093" w:rsidP="00984093">
            <w:pPr>
              <w:pStyle w:val="Lijstalinea"/>
              <w:rPr>
                <w:sz w:val="20"/>
                <w:szCs w:val="20"/>
              </w:rPr>
            </w:pPr>
          </w:p>
        </w:tc>
        <w:tc>
          <w:tcPr>
            <w:tcW w:w="8166" w:type="dxa"/>
            <w:shd w:val="clear" w:color="auto" w:fill="F2F2F2" w:themeFill="background1" w:themeFillShade="F2"/>
          </w:tcPr>
          <w:p w:rsidR="00984093" w:rsidRPr="00984093" w:rsidRDefault="00984093" w:rsidP="002177B0">
            <w:pPr>
              <w:rPr>
                <w:sz w:val="20"/>
                <w:szCs w:val="20"/>
              </w:rPr>
            </w:pPr>
            <w:r w:rsidRPr="00984093">
              <w:rPr>
                <w:sz w:val="20"/>
                <w:szCs w:val="20"/>
              </w:rPr>
              <w:t xml:space="preserve">15 De kandidaten kunnen in dialogen of bij discussies, de </w:t>
            </w:r>
            <w:proofErr w:type="spellStart"/>
            <w:r w:rsidRPr="00984093">
              <w:rPr>
                <w:sz w:val="20"/>
                <w:szCs w:val="20"/>
              </w:rPr>
              <w:t>pyrronistische</w:t>
            </w:r>
            <w:proofErr w:type="spellEnd"/>
            <w:r w:rsidRPr="00984093">
              <w:rPr>
                <w:sz w:val="20"/>
                <w:szCs w:val="20"/>
              </w:rPr>
              <w:t xml:space="preserve">, cartesiaanse en </w:t>
            </w:r>
            <w:proofErr w:type="spellStart"/>
            <w:r w:rsidRPr="00984093">
              <w:rPr>
                <w:sz w:val="20"/>
                <w:szCs w:val="20"/>
              </w:rPr>
              <w:t>humeaanse</w:t>
            </w:r>
            <w:proofErr w:type="spellEnd"/>
            <w:r w:rsidRPr="00984093">
              <w:rPr>
                <w:sz w:val="20"/>
                <w:szCs w:val="20"/>
              </w:rPr>
              <w:t xml:space="preserve"> wijze om kennisclaims te problematiseren, herkennen, onderscheiden, uitleggen en toep</w:t>
            </w:r>
            <w:r w:rsidRPr="00984093">
              <w:rPr>
                <w:sz w:val="20"/>
                <w:szCs w:val="20"/>
              </w:rPr>
              <w:t>a</w:t>
            </w:r>
            <w:r w:rsidRPr="00984093">
              <w:rPr>
                <w:sz w:val="20"/>
                <w:szCs w:val="20"/>
              </w:rPr>
              <w:t>ssen.</w:t>
            </w:r>
          </w:p>
        </w:tc>
        <w:tc>
          <w:tcPr>
            <w:tcW w:w="992" w:type="dxa"/>
            <w:shd w:val="clear" w:color="auto" w:fill="F2F2F2" w:themeFill="background1" w:themeFillShade="F2"/>
          </w:tcPr>
          <w:p w:rsidR="00984093" w:rsidRDefault="00984093" w:rsidP="002177B0"/>
        </w:tc>
      </w:tr>
      <w:tr w:rsidR="00984093" w:rsidTr="00984093">
        <w:trPr>
          <w:trHeight w:val="532"/>
        </w:trPr>
        <w:tc>
          <w:tcPr>
            <w:tcW w:w="2127" w:type="dxa"/>
            <w:vMerge w:val="restart"/>
            <w:shd w:val="clear" w:color="auto" w:fill="FBE4D5" w:themeFill="accent2" w:themeFillTint="33"/>
          </w:tcPr>
          <w:p w:rsidR="00984093" w:rsidRDefault="00984093" w:rsidP="002177B0">
            <w:r>
              <w:lastRenderedPageBreak/>
              <w:t>IV. Pyrronisme</w:t>
            </w:r>
          </w:p>
        </w:tc>
        <w:tc>
          <w:tcPr>
            <w:tcW w:w="1547" w:type="dxa"/>
            <w:vMerge w:val="restart"/>
            <w:shd w:val="clear" w:color="auto" w:fill="FBE4D5" w:themeFill="accent2" w:themeFillTint="33"/>
          </w:tcPr>
          <w:p w:rsidR="00984093" w:rsidRDefault="00984093" w:rsidP="002177B0">
            <w:proofErr w:type="spellStart"/>
            <w:r>
              <w:t>Sextus</w:t>
            </w:r>
            <w:proofErr w:type="spellEnd"/>
            <w:r>
              <w:t xml:space="preserve"> Empiricus</w:t>
            </w:r>
          </w:p>
        </w:tc>
        <w:tc>
          <w:tcPr>
            <w:tcW w:w="2477" w:type="dxa"/>
            <w:shd w:val="clear" w:color="auto" w:fill="FBE4D5" w:themeFill="accent2" w:themeFillTint="33"/>
          </w:tcPr>
          <w:p w:rsidR="00984093" w:rsidRDefault="00984093" w:rsidP="002177B0">
            <w:proofErr w:type="spellStart"/>
            <w:r>
              <w:t>Pyrronistische</w:t>
            </w:r>
            <w:proofErr w:type="spellEnd"/>
            <w:r>
              <w:t xml:space="preserve"> &amp; Academische scepsis</w:t>
            </w:r>
          </w:p>
        </w:tc>
        <w:tc>
          <w:tcPr>
            <w:tcW w:w="8166" w:type="dxa"/>
            <w:shd w:val="clear" w:color="auto" w:fill="FBE4D5" w:themeFill="accent2" w:themeFillTint="33"/>
          </w:tcPr>
          <w:p w:rsidR="00984093" w:rsidRPr="00984093" w:rsidRDefault="00984093" w:rsidP="002177B0">
            <w:pPr>
              <w:rPr>
                <w:sz w:val="20"/>
                <w:szCs w:val="20"/>
              </w:rPr>
            </w:pPr>
            <w:r w:rsidRPr="00984093">
              <w:rPr>
                <w:sz w:val="20"/>
                <w:szCs w:val="20"/>
              </w:rPr>
              <w:t xml:space="preserve">6 De kandidaten kunnen het onderscheid aangeven tussen </w:t>
            </w:r>
            <w:proofErr w:type="spellStart"/>
            <w:r w:rsidRPr="00984093">
              <w:rPr>
                <w:sz w:val="20"/>
                <w:szCs w:val="20"/>
              </w:rPr>
              <w:t>pyrronistische</w:t>
            </w:r>
            <w:proofErr w:type="spellEnd"/>
            <w:r w:rsidRPr="00984093">
              <w:rPr>
                <w:sz w:val="20"/>
                <w:szCs w:val="20"/>
              </w:rPr>
              <w:t xml:space="preserve"> en academische scepsis.</w:t>
            </w:r>
          </w:p>
        </w:tc>
        <w:tc>
          <w:tcPr>
            <w:tcW w:w="992" w:type="dxa"/>
            <w:shd w:val="clear" w:color="auto" w:fill="FBE4D5" w:themeFill="accent2" w:themeFillTint="33"/>
          </w:tcPr>
          <w:p w:rsidR="00984093" w:rsidRPr="002F3D9E" w:rsidRDefault="00984093" w:rsidP="002177B0">
            <w:pPr>
              <w:rPr>
                <w:sz w:val="20"/>
                <w:szCs w:val="20"/>
              </w:rPr>
            </w:pPr>
          </w:p>
        </w:tc>
      </w:tr>
      <w:tr w:rsidR="00984093" w:rsidTr="00984093">
        <w:trPr>
          <w:trHeight w:val="532"/>
        </w:trPr>
        <w:tc>
          <w:tcPr>
            <w:tcW w:w="2127" w:type="dxa"/>
            <w:vMerge/>
            <w:shd w:val="clear" w:color="auto" w:fill="FBE4D5" w:themeFill="accent2" w:themeFillTint="33"/>
          </w:tcPr>
          <w:p w:rsidR="00984093" w:rsidRDefault="00984093" w:rsidP="002177B0"/>
        </w:tc>
        <w:tc>
          <w:tcPr>
            <w:tcW w:w="1547" w:type="dxa"/>
            <w:vMerge/>
            <w:shd w:val="clear" w:color="auto" w:fill="FBE4D5" w:themeFill="accent2" w:themeFillTint="33"/>
          </w:tcPr>
          <w:p w:rsidR="00984093" w:rsidRDefault="00984093" w:rsidP="002177B0"/>
        </w:tc>
        <w:tc>
          <w:tcPr>
            <w:tcW w:w="2477" w:type="dxa"/>
            <w:shd w:val="clear" w:color="auto" w:fill="FBE4D5" w:themeFill="accent2" w:themeFillTint="33"/>
          </w:tcPr>
          <w:p w:rsidR="00984093" w:rsidRDefault="00984093" w:rsidP="002177B0">
            <w:r>
              <w:t>Theoretisch,</w:t>
            </w:r>
          </w:p>
          <w:p w:rsidR="00984093" w:rsidRDefault="00984093" w:rsidP="002177B0">
            <w:r>
              <w:t>Psychologisch,</w:t>
            </w:r>
          </w:p>
          <w:p w:rsidR="00984093" w:rsidRDefault="00984093" w:rsidP="002177B0">
            <w:r>
              <w:t>Dialectisch niveau</w:t>
            </w:r>
          </w:p>
        </w:tc>
        <w:tc>
          <w:tcPr>
            <w:tcW w:w="8166" w:type="dxa"/>
            <w:shd w:val="clear" w:color="auto" w:fill="FBE4D5" w:themeFill="accent2" w:themeFillTint="33"/>
          </w:tcPr>
          <w:p w:rsidR="00984093" w:rsidRPr="00984093" w:rsidRDefault="00984093" w:rsidP="002177B0">
            <w:pPr>
              <w:rPr>
                <w:sz w:val="20"/>
                <w:szCs w:val="20"/>
              </w:rPr>
            </w:pPr>
            <w:r w:rsidRPr="00984093">
              <w:rPr>
                <w:sz w:val="20"/>
                <w:szCs w:val="20"/>
              </w:rPr>
              <w:t xml:space="preserve">7 De kandidaten kunnen uitleggen wat wordt bedoeld met de </w:t>
            </w:r>
            <w:proofErr w:type="spellStart"/>
            <w:r w:rsidRPr="00984093">
              <w:rPr>
                <w:sz w:val="20"/>
                <w:szCs w:val="20"/>
              </w:rPr>
              <w:t>pyrronistische</w:t>
            </w:r>
            <w:proofErr w:type="spellEnd"/>
            <w:r w:rsidRPr="00984093">
              <w:rPr>
                <w:sz w:val="20"/>
                <w:szCs w:val="20"/>
              </w:rPr>
              <w:t xml:space="preserve"> problematiek en deze problematiek op theoretisch, psychologisch en dialectisch niveau interpreteren.</w:t>
            </w:r>
          </w:p>
        </w:tc>
        <w:tc>
          <w:tcPr>
            <w:tcW w:w="992" w:type="dxa"/>
            <w:shd w:val="clear" w:color="auto" w:fill="FBE4D5" w:themeFill="accent2" w:themeFillTint="33"/>
          </w:tcPr>
          <w:p w:rsidR="00984093" w:rsidRPr="002F3D9E" w:rsidRDefault="00984093" w:rsidP="002177B0">
            <w:pPr>
              <w:rPr>
                <w:sz w:val="20"/>
                <w:szCs w:val="20"/>
              </w:rPr>
            </w:pPr>
          </w:p>
        </w:tc>
      </w:tr>
      <w:tr w:rsidR="00984093" w:rsidTr="00984093">
        <w:trPr>
          <w:trHeight w:val="532"/>
        </w:trPr>
        <w:tc>
          <w:tcPr>
            <w:tcW w:w="2127" w:type="dxa"/>
            <w:vMerge/>
            <w:shd w:val="clear" w:color="auto" w:fill="FBE4D5" w:themeFill="accent2" w:themeFillTint="33"/>
          </w:tcPr>
          <w:p w:rsidR="00984093" w:rsidRDefault="00984093" w:rsidP="002177B0"/>
        </w:tc>
        <w:tc>
          <w:tcPr>
            <w:tcW w:w="1547" w:type="dxa"/>
            <w:vMerge/>
            <w:shd w:val="clear" w:color="auto" w:fill="FBE4D5" w:themeFill="accent2" w:themeFillTint="33"/>
          </w:tcPr>
          <w:p w:rsidR="00984093" w:rsidRDefault="00984093" w:rsidP="002177B0"/>
        </w:tc>
        <w:tc>
          <w:tcPr>
            <w:tcW w:w="2477" w:type="dxa"/>
            <w:shd w:val="clear" w:color="auto" w:fill="FBE4D5" w:themeFill="accent2" w:themeFillTint="33"/>
          </w:tcPr>
          <w:p w:rsidR="00984093" w:rsidRDefault="00984093" w:rsidP="002177B0">
            <w:r>
              <w:t>Beginsel</w:t>
            </w:r>
          </w:p>
        </w:tc>
        <w:tc>
          <w:tcPr>
            <w:tcW w:w="8166" w:type="dxa"/>
            <w:shd w:val="clear" w:color="auto" w:fill="FBE4D5" w:themeFill="accent2" w:themeFillTint="33"/>
          </w:tcPr>
          <w:p w:rsidR="00984093" w:rsidRPr="00984093" w:rsidRDefault="00984093" w:rsidP="002177B0">
            <w:pPr>
              <w:rPr>
                <w:sz w:val="20"/>
                <w:szCs w:val="20"/>
              </w:rPr>
            </w:pPr>
            <w:r w:rsidRPr="00984093">
              <w:rPr>
                <w:sz w:val="20"/>
                <w:szCs w:val="20"/>
              </w:rPr>
              <w:t xml:space="preserve">17 De kandidaten kunnen de opvatting van </w:t>
            </w:r>
            <w:proofErr w:type="spellStart"/>
            <w:r w:rsidRPr="00984093">
              <w:rPr>
                <w:sz w:val="20"/>
                <w:szCs w:val="20"/>
              </w:rPr>
              <w:t>Sextus</w:t>
            </w:r>
            <w:proofErr w:type="spellEnd"/>
            <w:r w:rsidRPr="00984093">
              <w:rPr>
                <w:sz w:val="20"/>
                <w:szCs w:val="20"/>
              </w:rPr>
              <w:t xml:space="preserve"> Empiricus over wat scepticisme is weergeven en daarbij aangeven wat daarvan het voornaamste beginsel is. </w:t>
            </w:r>
          </w:p>
        </w:tc>
        <w:tc>
          <w:tcPr>
            <w:tcW w:w="992" w:type="dxa"/>
            <w:shd w:val="clear" w:color="auto" w:fill="FBE4D5" w:themeFill="accent2" w:themeFillTint="33"/>
          </w:tcPr>
          <w:p w:rsidR="00984093" w:rsidRPr="002F3D9E" w:rsidRDefault="00984093" w:rsidP="002177B0">
            <w:pPr>
              <w:rPr>
                <w:sz w:val="20"/>
                <w:szCs w:val="20"/>
              </w:rPr>
            </w:pPr>
          </w:p>
        </w:tc>
      </w:tr>
      <w:tr w:rsidR="00984093" w:rsidTr="00984093">
        <w:trPr>
          <w:trHeight w:val="532"/>
        </w:trPr>
        <w:tc>
          <w:tcPr>
            <w:tcW w:w="2127" w:type="dxa"/>
            <w:vMerge/>
            <w:shd w:val="clear" w:color="auto" w:fill="FBE4D5" w:themeFill="accent2" w:themeFillTint="33"/>
          </w:tcPr>
          <w:p w:rsidR="00984093" w:rsidRDefault="00984093" w:rsidP="002177B0"/>
        </w:tc>
        <w:tc>
          <w:tcPr>
            <w:tcW w:w="1547" w:type="dxa"/>
            <w:vMerge/>
            <w:shd w:val="clear" w:color="auto" w:fill="FBE4D5" w:themeFill="accent2" w:themeFillTint="33"/>
          </w:tcPr>
          <w:p w:rsidR="00984093" w:rsidRDefault="00984093" w:rsidP="002177B0"/>
        </w:tc>
        <w:tc>
          <w:tcPr>
            <w:tcW w:w="2477" w:type="dxa"/>
            <w:shd w:val="clear" w:color="auto" w:fill="FBE4D5" w:themeFill="accent2" w:themeFillTint="33"/>
          </w:tcPr>
          <w:p w:rsidR="00984093" w:rsidRDefault="00984093" w:rsidP="002177B0">
            <w:r>
              <w:t>Doctrine ja of nee</w:t>
            </w:r>
          </w:p>
        </w:tc>
        <w:tc>
          <w:tcPr>
            <w:tcW w:w="8166" w:type="dxa"/>
            <w:shd w:val="clear" w:color="auto" w:fill="FBE4D5" w:themeFill="accent2" w:themeFillTint="33"/>
          </w:tcPr>
          <w:p w:rsidR="00984093" w:rsidRPr="00984093" w:rsidRDefault="00984093" w:rsidP="002177B0">
            <w:pPr>
              <w:rPr>
                <w:sz w:val="20"/>
                <w:szCs w:val="20"/>
              </w:rPr>
            </w:pPr>
            <w:r w:rsidRPr="00984093">
              <w:rPr>
                <w:sz w:val="20"/>
                <w:szCs w:val="20"/>
              </w:rPr>
              <w:t xml:space="preserve">18 De kandidaten kunnen uitleggen in welke zin een scepticus volgens </w:t>
            </w:r>
            <w:proofErr w:type="spellStart"/>
            <w:r w:rsidRPr="00984093">
              <w:rPr>
                <w:sz w:val="20"/>
                <w:szCs w:val="20"/>
              </w:rPr>
              <w:t>Sextus</w:t>
            </w:r>
            <w:proofErr w:type="spellEnd"/>
            <w:r w:rsidRPr="00984093">
              <w:rPr>
                <w:sz w:val="20"/>
                <w:szCs w:val="20"/>
              </w:rPr>
              <w:t xml:space="preserve"> Empiricus een doctrine heeft en in welke zin niet.</w:t>
            </w:r>
          </w:p>
        </w:tc>
        <w:tc>
          <w:tcPr>
            <w:tcW w:w="992" w:type="dxa"/>
            <w:shd w:val="clear" w:color="auto" w:fill="FBE4D5" w:themeFill="accent2" w:themeFillTint="33"/>
          </w:tcPr>
          <w:p w:rsidR="00984093" w:rsidRPr="002F3D9E" w:rsidRDefault="00984093" w:rsidP="002177B0">
            <w:pPr>
              <w:rPr>
                <w:sz w:val="20"/>
                <w:szCs w:val="20"/>
              </w:rPr>
            </w:pPr>
          </w:p>
        </w:tc>
      </w:tr>
      <w:tr w:rsidR="00984093" w:rsidTr="00984093">
        <w:trPr>
          <w:trHeight w:val="532"/>
        </w:trPr>
        <w:tc>
          <w:tcPr>
            <w:tcW w:w="2127" w:type="dxa"/>
            <w:vMerge/>
            <w:shd w:val="clear" w:color="auto" w:fill="FBE4D5" w:themeFill="accent2" w:themeFillTint="33"/>
          </w:tcPr>
          <w:p w:rsidR="00984093" w:rsidRDefault="00984093" w:rsidP="002177B0"/>
        </w:tc>
        <w:tc>
          <w:tcPr>
            <w:tcW w:w="1547" w:type="dxa"/>
            <w:vMerge/>
            <w:shd w:val="clear" w:color="auto" w:fill="FBE4D5" w:themeFill="accent2" w:themeFillTint="33"/>
          </w:tcPr>
          <w:p w:rsidR="00984093" w:rsidRDefault="00984093" w:rsidP="002177B0"/>
        </w:tc>
        <w:tc>
          <w:tcPr>
            <w:tcW w:w="2477" w:type="dxa"/>
            <w:shd w:val="clear" w:color="auto" w:fill="FBE4D5" w:themeFill="accent2" w:themeFillTint="33"/>
          </w:tcPr>
          <w:p w:rsidR="00984093" w:rsidRDefault="00984093" w:rsidP="002177B0">
            <w:r>
              <w:t>Onverstoorbaarheid</w:t>
            </w:r>
          </w:p>
          <w:p w:rsidR="00984093" w:rsidRDefault="00984093" w:rsidP="002177B0">
            <w:r>
              <w:t>Opschorting (</w:t>
            </w:r>
            <w:proofErr w:type="spellStart"/>
            <w:r>
              <w:t>epochè</w:t>
            </w:r>
            <w:proofErr w:type="spellEnd"/>
            <w:r>
              <w:t>)</w:t>
            </w:r>
          </w:p>
          <w:p w:rsidR="00984093" w:rsidRDefault="00984093" w:rsidP="002177B0">
            <w:proofErr w:type="spellStart"/>
            <w:r>
              <w:t>Isothenie</w:t>
            </w:r>
            <w:proofErr w:type="spellEnd"/>
            <w:r>
              <w:t xml:space="preserve"> </w:t>
            </w:r>
          </w:p>
          <w:p w:rsidR="00984093" w:rsidRDefault="00984093" w:rsidP="002177B0">
            <w:r>
              <w:t>Levenshouding</w:t>
            </w:r>
          </w:p>
        </w:tc>
        <w:tc>
          <w:tcPr>
            <w:tcW w:w="8166" w:type="dxa"/>
            <w:shd w:val="clear" w:color="auto" w:fill="FBE4D5" w:themeFill="accent2" w:themeFillTint="33"/>
          </w:tcPr>
          <w:p w:rsidR="00984093" w:rsidRPr="00984093" w:rsidRDefault="00984093" w:rsidP="002177B0">
            <w:pPr>
              <w:rPr>
                <w:sz w:val="20"/>
                <w:szCs w:val="20"/>
              </w:rPr>
            </w:pPr>
            <w:r w:rsidRPr="00984093">
              <w:rPr>
                <w:sz w:val="20"/>
                <w:szCs w:val="20"/>
              </w:rPr>
              <w:t xml:space="preserve">19 De kandidaten kunnen de argumentatie van </w:t>
            </w:r>
            <w:proofErr w:type="spellStart"/>
            <w:r w:rsidRPr="00984093">
              <w:rPr>
                <w:sz w:val="20"/>
                <w:szCs w:val="20"/>
              </w:rPr>
              <w:t>Sextus</w:t>
            </w:r>
            <w:proofErr w:type="spellEnd"/>
            <w:r w:rsidRPr="00984093">
              <w:rPr>
                <w:sz w:val="20"/>
                <w:szCs w:val="20"/>
              </w:rPr>
              <w:t xml:space="preserve"> Empiricus reconstrueren dat onverstoorbaarheid en beheerstheid het einddoel zijn van de sceptische levenshouding en uitleggen welke rol “opschorting” daarbij speelt.</w:t>
            </w:r>
          </w:p>
        </w:tc>
        <w:tc>
          <w:tcPr>
            <w:tcW w:w="992" w:type="dxa"/>
            <w:shd w:val="clear" w:color="auto" w:fill="FBE4D5" w:themeFill="accent2" w:themeFillTint="33"/>
          </w:tcPr>
          <w:p w:rsidR="00984093" w:rsidRPr="002F3D9E" w:rsidRDefault="00984093" w:rsidP="002177B0">
            <w:pPr>
              <w:rPr>
                <w:sz w:val="20"/>
                <w:szCs w:val="20"/>
              </w:rPr>
            </w:pPr>
          </w:p>
        </w:tc>
      </w:tr>
      <w:tr w:rsidR="00984093" w:rsidTr="00984093">
        <w:trPr>
          <w:trHeight w:val="532"/>
        </w:trPr>
        <w:tc>
          <w:tcPr>
            <w:tcW w:w="2127" w:type="dxa"/>
            <w:vMerge/>
            <w:shd w:val="clear" w:color="auto" w:fill="FBE4D5" w:themeFill="accent2" w:themeFillTint="33"/>
          </w:tcPr>
          <w:p w:rsidR="00984093" w:rsidRDefault="00984093" w:rsidP="002177B0"/>
        </w:tc>
        <w:tc>
          <w:tcPr>
            <w:tcW w:w="1547" w:type="dxa"/>
            <w:vMerge/>
            <w:shd w:val="clear" w:color="auto" w:fill="FBE4D5" w:themeFill="accent2" w:themeFillTint="33"/>
          </w:tcPr>
          <w:p w:rsidR="00984093" w:rsidRDefault="00984093" w:rsidP="002177B0"/>
        </w:tc>
        <w:tc>
          <w:tcPr>
            <w:tcW w:w="2477" w:type="dxa"/>
            <w:shd w:val="clear" w:color="auto" w:fill="FBE4D5" w:themeFill="accent2" w:themeFillTint="33"/>
          </w:tcPr>
          <w:p w:rsidR="00984093" w:rsidRDefault="00984093" w:rsidP="002177B0">
            <w:r>
              <w:t>Vijf tropen:</w:t>
            </w:r>
          </w:p>
          <w:p w:rsidR="00984093" w:rsidRDefault="00984093" w:rsidP="002177B0">
            <w:pPr>
              <w:pStyle w:val="Lijstalinea"/>
              <w:numPr>
                <w:ilvl w:val="0"/>
                <w:numId w:val="1"/>
              </w:numPr>
            </w:pPr>
            <w:r>
              <w:t>Onenigheid</w:t>
            </w:r>
          </w:p>
          <w:p w:rsidR="00984093" w:rsidRDefault="00984093" w:rsidP="002177B0">
            <w:pPr>
              <w:pStyle w:val="Lijstalinea"/>
              <w:numPr>
                <w:ilvl w:val="0"/>
                <w:numId w:val="1"/>
              </w:numPr>
            </w:pPr>
            <w:proofErr w:type="spellStart"/>
            <w:r>
              <w:t>Regressus</w:t>
            </w:r>
            <w:proofErr w:type="spellEnd"/>
            <w:r>
              <w:t xml:space="preserve"> ad </w:t>
            </w:r>
            <w:proofErr w:type="spellStart"/>
            <w:r>
              <w:t>infinitum</w:t>
            </w:r>
            <w:proofErr w:type="spellEnd"/>
          </w:p>
          <w:p w:rsidR="00984093" w:rsidRDefault="00984093" w:rsidP="002177B0">
            <w:pPr>
              <w:pStyle w:val="Lijstalinea"/>
              <w:numPr>
                <w:ilvl w:val="0"/>
                <w:numId w:val="1"/>
              </w:numPr>
            </w:pPr>
            <w:r>
              <w:t>Relativiteit</w:t>
            </w:r>
          </w:p>
          <w:p w:rsidR="00984093" w:rsidRDefault="00984093" w:rsidP="002177B0">
            <w:pPr>
              <w:pStyle w:val="Lijstalinea"/>
              <w:numPr>
                <w:ilvl w:val="0"/>
                <w:numId w:val="1"/>
              </w:numPr>
            </w:pPr>
            <w:r>
              <w:t>Veronderstelling</w:t>
            </w:r>
          </w:p>
          <w:p w:rsidR="00984093" w:rsidRDefault="00984093" w:rsidP="00976A96">
            <w:pPr>
              <w:pStyle w:val="Lijstalinea"/>
              <w:numPr>
                <w:ilvl w:val="0"/>
                <w:numId w:val="1"/>
              </w:numPr>
            </w:pPr>
            <w:r>
              <w:t>Cirkelredenering</w:t>
            </w:r>
          </w:p>
          <w:p w:rsidR="00984093" w:rsidRDefault="00984093" w:rsidP="002F3D9E">
            <w:pPr>
              <w:pStyle w:val="Lijstalinea"/>
            </w:pPr>
          </w:p>
        </w:tc>
        <w:tc>
          <w:tcPr>
            <w:tcW w:w="8166" w:type="dxa"/>
            <w:shd w:val="clear" w:color="auto" w:fill="FBE4D5" w:themeFill="accent2" w:themeFillTint="33"/>
          </w:tcPr>
          <w:p w:rsidR="00984093" w:rsidRPr="00984093" w:rsidRDefault="00984093" w:rsidP="002177B0">
            <w:pPr>
              <w:rPr>
                <w:sz w:val="20"/>
                <w:szCs w:val="20"/>
              </w:rPr>
            </w:pPr>
            <w:r w:rsidRPr="00984093">
              <w:rPr>
                <w:sz w:val="20"/>
                <w:szCs w:val="20"/>
              </w:rPr>
              <w:t xml:space="preserve">20 De kandidaten kunnen uitleggen wat </w:t>
            </w:r>
            <w:proofErr w:type="spellStart"/>
            <w:r w:rsidRPr="00984093">
              <w:rPr>
                <w:sz w:val="20"/>
                <w:szCs w:val="20"/>
              </w:rPr>
              <w:t>Sextus</w:t>
            </w:r>
            <w:proofErr w:type="spellEnd"/>
            <w:r w:rsidRPr="00984093">
              <w:rPr>
                <w:sz w:val="20"/>
                <w:szCs w:val="20"/>
              </w:rPr>
              <w:t xml:space="preserve"> Empiricus onder “de vijf tropen voor opschorting” verstaat en aan de hand van voorbeelden beargumenteren dat elke te onderzoeken zaak in deze vijf tropen kan worden ondergebracht, zowel waarneembare als denkbare zaken.</w:t>
            </w:r>
          </w:p>
        </w:tc>
        <w:tc>
          <w:tcPr>
            <w:tcW w:w="992" w:type="dxa"/>
            <w:shd w:val="clear" w:color="auto" w:fill="FBE4D5" w:themeFill="accent2" w:themeFillTint="33"/>
          </w:tcPr>
          <w:p w:rsidR="00984093" w:rsidRPr="002F3D9E" w:rsidRDefault="00984093" w:rsidP="002177B0">
            <w:pPr>
              <w:rPr>
                <w:sz w:val="20"/>
                <w:szCs w:val="20"/>
              </w:rPr>
            </w:pPr>
          </w:p>
        </w:tc>
      </w:tr>
      <w:tr w:rsidR="00984093" w:rsidTr="00984093">
        <w:trPr>
          <w:trHeight w:val="732"/>
        </w:trPr>
        <w:tc>
          <w:tcPr>
            <w:tcW w:w="2127" w:type="dxa"/>
            <w:vMerge w:val="restart"/>
            <w:shd w:val="clear" w:color="auto" w:fill="DEEAF6" w:themeFill="accent5" w:themeFillTint="33"/>
          </w:tcPr>
          <w:p w:rsidR="00984093" w:rsidRDefault="00984093" w:rsidP="002177B0">
            <w:r>
              <w:t>V. Rationalisme &amp; metafysisch scepticisme</w:t>
            </w:r>
          </w:p>
        </w:tc>
        <w:tc>
          <w:tcPr>
            <w:tcW w:w="1547" w:type="dxa"/>
            <w:vMerge w:val="restart"/>
            <w:shd w:val="clear" w:color="auto" w:fill="DEEAF6" w:themeFill="accent5" w:themeFillTint="33"/>
          </w:tcPr>
          <w:p w:rsidR="00984093" w:rsidRDefault="00984093" w:rsidP="002177B0">
            <w:r>
              <w:t>René Descartes</w:t>
            </w:r>
          </w:p>
          <w:p w:rsidR="00984093" w:rsidRDefault="00984093" w:rsidP="00976A96"/>
          <w:p w:rsidR="00984093" w:rsidRPr="00976A96" w:rsidRDefault="00984093" w:rsidP="00976A96">
            <w:pPr>
              <w:jc w:val="center"/>
            </w:pPr>
          </w:p>
        </w:tc>
        <w:tc>
          <w:tcPr>
            <w:tcW w:w="2477" w:type="dxa"/>
            <w:shd w:val="clear" w:color="auto" w:fill="DEEAF6" w:themeFill="accent5" w:themeFillTint="33"/>
          </w:tcPr>
          <w:p w:rsidR="00984093" w:rsidRDefault="00984093" w:rsidP="002177B0">
            <w:r>
              <w:t>Radicale twijfel -&gt; drie niveaus van twijfel</w:t>
            </w:r>
          </w:p>
        </w:tc>
        <w:tc>
          <w:tcPr>
            <w:tcW w:w="8166" w:type="dxa"/>
            <w:shd w:val="clear" w:color="auto" w:fill="DEEAF6" w:themeFill="accent5" w:themeFillTint="33"/>
          </w:tcPr>
          <w:p w:rsidR="00984093" w:rsidRPr="00984093" w:rsidRDefault="00984093" w:rsidP="002177B0">
            <w:pPr>
              <w:rPr>
                <w:sz w:val="20"/>
                <w:szCs w:val="20"/>
              </w:rPr>
            </w:pPr>
            <w:r w:rsidRPr="00984093">
              <w:rPr>
                <w:sz w:val="20"/>
                <w:szCs w:val="20"/>
              </w:rPr>
              <w:t>9 De kandidaten kunnen uitleggen wat René Descartes met zijn radicale twijfel beoogt en daarbij zijn drie niveaus van twijfel en bijbehorende argumenten onderscheiden en beschrijven.</w:t>
            </w:r>
          </w:p>
        </w:tc>
        <w:tc>
          <w:tcPr>
            <w:tcW w:w="992" w:type="dxa"/>
            <w:shd w:val="clear" w:color="auto" w:fill="DEEAF6" w:themeFill="accent5" w:themeFillTint="33"/>
          </w:tcPr>
          <w:p w:rsidR="00984093" w:rsidRPr="002F3D9E" w:rsidRDefault="00984093" w:rsidP="002177B0">
            <w:pPr>
              <w:rPr>
                <w:sz w:val="20"/>
                <w:szCs w:val="20"/>
              </w:rPr>
            </w:pPr>
          </w:p>
        </w:tc>
      </w:tr>
      <w:tr w:rsidR="00984093" w:rsidTr="00984093">
        <w:trPr>
          <w:trHeight w:val="732"/>
        </w:trPr>
        <w:tc>
          <w:tcPr>
            <w:tcW w:w="2127" w:type="dxa"/>
            <w:vMerge/>
            <w:shd w:val="clear" w:color="auto" w:fill="DEEAF6" w:themeFill="accent5" w:themeFillTint="33"/>
          </w:tcPr>
          <w:p w:rsidR="00984093" w:rsidRDefault="00984093" w:rsidP="002177B0"/>
        </w:tc>
        <w:tc>
          <w:tcPr>
            <w:tcW w:w="1547" w:type="dxa"/>
            <w:vMerge/>
            <w:shd w:val="clear" w:color="auto" w:fill="DEEAF6" w:themeFill="accent5" w:themeFillTint="33"/>
          </w:tcPr>
          <w:p w:rsidR="00984093" w:rsidRDefault="00984093" w:rsidP="002177B0"/>
        </w:tc>
        <w:tc>
          <w:tcPr>
            <w:tcW w:w="2477" w:type="dxa"/>
            <w:shd w:val="clear" w:color="auto" w:fill="DEEAF6" w:themeFill="accent5" w:themeFillTint="33"/>
          </w:tcPr>
          <w:p w:rsidR="00984093" w:rsidRDefault="00984093" w:rsidP="002177B0">
            <w:proofErr w:type="spellStart"/>
            <w:r>
              <w:t>Res</w:t>
            </w:r>
            <w:proofErr w:type="spellEnd"/>
            <w:r>
              <w:t xml:space="preserve"> </w:t>
            </w:r>
            <w:proofErr w:type="spellStart"/>
            <w:r>
              <w:t>Cogitans</w:t>
            </w:r>
            <w:proofErr w:type="spellEnd"/>
            <w:r>
              <w:t xml:space="preserve"> -&gt; bewijs </w:t>
            </w:r>
            <w:proofErr w:type="spellStart"/>
            <w:r>
              <w:t>Res</w:t>
            </w:r>
            <w:proofErr w:type="spellEnd"/>
            <w:r>
              <w:t xml:space="preserve"> </w:t>
            </w:r>
            <w:proofErr w:type="spellStart"/>
            <w:r>
              <w:t>Extensa</w:t>
            </w:r>
            <w:proofErr w:type="spellEnd"/>
          </w:p>
        </w:tc>
        <w:tc>
          <w:tcPr>
            <w:tcW w:w="8166" w:type="dxa"/>
            <w:shd w:val="clear" w:color="auto" w:fill="DEEAF6" w:themeFill="accent5" w:themeFillTint="33"/>
          </w:tcPr>
          <w:p w:rsidR="00984093" w:rsidRPr="00984093" w:rsidRDefault="00984093" w:rsidP="002177B0">
            <w:pPr>
              <w:rPr>
                <w:sz w:val="20"/>
                <w:szCs w:val="20"/>
              </w:rPr>
            </w:pPr>
            <w:r w:rsidRPr="00984093">
              <w:rPr>
                <w:sz w:val="20"/>
                <w:szCs w:val="20"/>
              </w:rPr>
              <w:t xml:space="preserve">10 De kandidaten kunnen de argumentatie reconstrueren hoe Descartes vanuit het “ik denk” concludeert tot het bestaan van zichzelf als </w:t>
            </w:r>
            <w:proofErr w:type="spellStart"/>
            <w:r w:rsidRPr="00984093">
              <w:rPr>
                <w:sz w:val="20"/>
                <w:szCs w:val="20"/>
              </w:rPr>
              <w:t>res</w:t>
            </w:r>
            <w:proofErr w:type="spellEnd"/>
            <w:r w:rsidRPr="00984093">
              <w:rPr>
                <w:sz w:val="20"/>
                <w:szCs w:val="20"/>
              </w:rPr>
              <w:t xml:space="preserve"> </w:t>
            </w:r>
            <w:proofErr w:type="spellStart"/>
            <w:r w:rsidRPr="00984093">
              <w:rPr>
                <w:sz w:val="20"/>
                <w:szCs w:val="20"/>
              </w:rPr>
              <w:t>cogitans</w:t>
            </w:r>
            <w:proofErr w:type="spellEnd"/>
            <w:r w:rsidRPr="00984093">
              <w:rPr>
                <w:sz w:val="20"/>
                <w:szCs w:val="20"/>
              </w:rPr>
              <w:t xml:space="preserve">, het bestaan van God en het bestaan van de buitenwereld als </w:t>
            </w:r>
            <w:proofErr w:type="spellStart"/>
            <w:r w:rsidRPr="00984093">
              <w:rPr>
                <w:sz w:val="20"/>
                <w:szCs w:val="20"/>
              </w:rPr>
              <w:t>res</w:t>
            </w:r>
            <w:proofErr w:type="spellEnd"/>
            <w:r w:rsidRPr="00984093">
              <w:rPr>
                <w:sz w:val="20"/>
                <w:szCs w:val="20"/>
              </w:rPr>
              <w:t xml:space="preserve"> </w:t>
            </w:r>
            <w:proofErr w:type="spellStart"/>
            <w:r w:rsidRPr="00984093">
              <w:rPr>
                <w:sz w:val="20"/>
                <w:szCs w:val="20"/>
              </w:rPr>
              <w:t>extensa</w:t>
            </w:r>
            <w:proofErr w:type="spellEnd"/>
            <w:r w:rsidRPr="00984093">
              <w:rPr>
                <w:sz w:val="20"/>
                <w:szCs w:val="20"/>
              </w:rPr>
              <w:t>.</w:t>
            </w:r>
          </w:p>
        </w:tc>
        <w:tc>
          <w:tcPr>
            <w:tcW w:w="992" w:type="dxa"/>
            <w:shd w:val="clear" w:color="auto" w:fill="DEEAF6" w:themeFill="accent5" w:themeFillTint="33"/>
          </w:tcPr>
          <w:p w:rsidR="00984093" w:rsidRPr="002F3D9E" w:rsidRDefault="00984093" w:rsidP="002177B0">
            <w:pPr>
              <w:rPr>
                <w:sz w:val="20"/>
                <w:szCs w:val="20"/>
              </w:rPr>
            </w:pPr>
          </w:p>
        </w:tc>
      </w:tr>
      <w:tr w:rsidR="00984093" w:rsidTr="00984093">
        <w:trPr>
          <w:trHeight w:val="732"/>
        </w:trPr>
        <w:tc>
          <w:tcPr>
            <w:tcW w:w="2127" w:type="dxa"/>
            <w:vMerge/>
            <w:shd w:val="clear" w:color="auto" w:fill="DEEAF6" w:themeFill="accent5" w:themeFillTint="33"/>
          </w:tcPr>
          <w:p w:rsidR="00984093" w:rsidRDefault="00984093" w:rsidP="002177B0"/>
        </w:tc>
        <w:tc>
          <w:tcPr>
            <w:tcW w:w="1547" w:type="dxa"/>
            <w:shd w:val="clear" w:color="auto" w:fill="DEEAF6" w:themeFill="accent5" w:themeFillTint="33"/>
          </w:tcPr>
          <w:p w:rsidR="00984093" w:rsidRDefault="00984093" w:rsidP="002177B0">
            <w:r>
              <w:t xml:space="preserve">Descartes &amp; </w:t>
            </w:r>
            <w:proofErr w:type="spellStart"/>
            <w:r>
              <w:t>Anselmus</w:t>
            </w:r>
            <w:proofErr w:type="spellEnd"/>
          </w:p>
        </w:tc>
        <w:tc>
          <w:tcPr>
            <w:tcW w:w="2477" w:type="dxa"/>
            <w:shd w:val="clear" w:color="auto" w:fill="DEEAF6" w:themeFill="accent5" w:themeFillTint="33"/>
          </w:tcPr>
          <w:p w:rsidR="00984093" w:rsidRDefault="00984093" w:rsidP="002177B0">
            <w:r>
              <w:t xml:space="preserve">Twijfelexperiment &amp; </w:t>
            </w:r>
            <w:proofErr w:type="spellStart"/>
            <w:r>
              <w:t>Anselmus</w:t>
            </w:r>
            <w:proofErr w:type="spellEnd"/>
            <w:r>
              <w:t>’ Godsbewijs</w:t>
            </w:r>
          </w:p>
        </w:tc>
        <w:tc>
          <w:tcPr>
            <w:tcW w:w="8166" w:type="dxa"/>
            <w:shd w:val="clear" w:color="auto" w:fill="DEEAF6" w:themeFill="accent5" w:themeFillTint="33"/>
          </w:tcPr>
          <w:p w:rsidR="00984093" w:rsidRPr="00984093" w:rsidRDefault="00984093" w:rsidP="002177B0">
            <w:pPr>
              <w:rPr>
                <w:sz w:val="20"/>
                <w:szCs w:val="20"/>
              </w:rPr>
            </w:pPr>
            <w:r w:rsidRPr="00984093">
              <w:rPr>
                <w:sz w:val="20"/>
                <w:szCs w:val="20"/>
              </w:rPr>
              <w:t>21 De kandidaten kunnen het twijfelexperiment van Descartes in de verschillende stappen uitleggen: bij de zintuiglijke indrukken, bij het besef van het eigen lichaam en de slaap- en waaktoestand, bij het bestaan van de natuur in het algemeen en bij het bestaan van God.</w:t>
            </w:r>
          </w:p>
        </w:tc>
        <w:tc>
          <w:tcPr>
            <w:tcW w:w="992" w:type="dxa"/>
            <w:shd w:val="clear" w:color="auto" w:fill="DEEAF6" w:themeFill="accent5" w:themeFillTint="33"/>
          </w:tcPr>
          <w:p w:rsidR="00984093" w:rsidRPr="002F3D9E" w:rsidRDefault="00984093" w:rsidP="002177B0">
            <w:pPr>
              <w:rPr>
                <w:sz w:val="20"/>
                <w:szCs w:val="20"/>
              </w:rPr>
            </w:pPr>
          </w:p>
        </w:tc>
      </w:tr>
      <w:tr w:rsidR="00984093" w:rsidTr="00984093">
        <w:trPr>
          <w:trHeight w:val="732"/>
        </w:trPr>
        <w:tc>
          <w:tcPr>
            <w:tcW w:w="2127" w:type="dxa"/>
            <w:vMerge/>
            <w:shd w:val="clear" w:color="auto" w:fill="DEEAF6" w:themeFill="accent5" w:themeFillTint="33"/>
          </w:tcPr>
          <w:p w:rsidR="00984093" w:rsidRDefault="00984093" w:rsidP="002177B0"/>
        </w:tc>
        <w:tc>
          <w:tcPr>
            <w:tcW w:w="1547" w:type="dxa"/>
            <w:shd w:val="clear" w:color="auto" w:fill="DEEAF6" w:themeFill="accent5" w:themeFillTint="33"/>
          </w:tcPr>
          <w:p w:rsidR="00984093" w:rsidRDefault="00984093" w:rsidP="002177B0">
            <w:r>
              <w:t xml:space="preserve">Descartes &amp; Hilary </w:t>
            </w:r>
            <w:proofErr w:type="spellStart"/>
            <w:r>
              <w:t>Putnam</w:t>
            </w:r>
            <w:proofErr w:type="spellEnd"/>
          </w:p>
        </w:tc>
        <w:tc>
          <w:tcPr>
            <w:tcW w:w="2477" w:type="dxa"/>
            <w:shd w:val="clear" w:color="auto" w:fill="DEEAF6" w:themeFill="accent5" w:themeFillTint="33"/>
          </w:tcPr>
          <w:p w:rsidR="00984093" w:rsidRDefault="00984093" w:rsidP="002177B0">
            <w:r>
              <w:t>Brain in a vat</w:t>
            </w:r>
          </w:p>
        </w:tc>
        <w:tc>
          <w:tcPr>
            <w:tcW w:w="8166" w:type="dxa"/>
            <w:shd w:val="clear" w:color="auto" w:fill="DEEAF6" w:themeFill="accent5" w:themeFillTint="33"/>
          </w:tcPr>
          <w:p w:rsidR="00984093" w:rsidRPr="00984093" w:rsidRDefault="00984093" w:rsidP="002177B0">
            <w:pPr>
              <w:rPr>
                <w:sz w:val="20"/>
                <w:szCs w:val="20"/>
              </w:rPr>
            </w:pPr>
            <w:r w:rsidRPr="00984093">
              <w:rPr>
                <w:sz w:val="20"/>
                <w:szCs w:val="20"/>
              </w:rPr>
              <w:t>14 De kandidaten kunnen uitleggen wat de overeenkomsten zijn tussen het gedachte- experiment van het “brein in een vat” en de gedachte-experimenten van Descartes.</w:t>
            </w:r>
          </w:p>
        </w:tc>
        <w:tc>
          <w:tcPr>
            <w:tcW w:w="992" w:type="dxa"/>
            <w:shd w:val="clear" w:color="auto" w:fill="DEEAF6" w:themeFill="accent5" w:themeFillTint="33"/>
          </w:tcPr>
          <w:p w:rsidR="00984093" w:rsidRPr="002F3D9E" w:rsidRDefault="00984093" w:rsidP="002177B0">
            <w:pPr>
              <w:rPr>
                <w:sz w:val="20"/>
                <w:szCs w:val="20"/>
              </w:rPr>
            </w:pPr>
          </w:p>
        </w:tc>
      </w:tr>
      <w:tr w:rsidR="00984093" w:rsidTr="00984093">
        <w:trPr>
          <w:trHeight w:val="799"/>
        </w:trPr>
        <w:tc>
          <w:tcPr>
            <w:tcW w:w="2127" w:type="dxa"/>
            <w:vMerge w:val="restart"/>
            <w:shd w:val="clear" w:color="auto" w:fill="E2EFD9" w:themeFill="accent6" w:themeFillTint="33"/>
          </w:tcPr>
          <w:p w:rsidR="00984093" w:rsidRDefault="00984093" w:rsidP="002177B0">
            <w:r>
              <w:lastRenderedPageBreak/>
              <w:t>VI. Empirisme</w:t>
            </w:r>
          </w:p>
        </w:tc>
        <w:tc>
          <w:tcPr>
            <w:tcW w:w="1547" w:type="dxa"/>
            <w:vMerge w:val="restart"/>
            <w:shd w:val="clear" w:color="auto" w:fill="E2EFD9" w:themeFill="accent6" w:themeFillTint="33"/>
          </w:tcPr>
          <w:p w:rsidR="00984093" w:rsidRDefault="00984093" w:rsidP="002177B0">
            <w:r>
              <w:t>David Hume</w:t>
            </w:r>
          </w:p>
        </w:tc>
        <w:tc>
          <w:tcPr>
            <w:tcW w:w="2477" w:type="dxa"/>
            <w:shd w:val="clear" w:color="auto" w:fill="E2EFD9" w:themeFill="accent6" w:themeFillTint="33"/>
          </w:tcPr>
          <w:p w:rsidR="00984093" w:rsidRDefault="00984093" w:rsidP="002177B0">
            <w:r>
              <w:t>Impressies &amp; Ideeën</w:t>
            </w:r>
          </w:p>
        </w:tc>
        <w:tc>
          <w:tcPr>
            <w:tcW w:w="8166" w:type="dxa"/>
            <w:shd w:val="clear" w:color="auto" w:fill="E2EFD9" w:themeFill="accent6" w:themeFillTint="33"/>
          </w:tcPr>
          <w:p w:rsidR="00984093" w:rsidRPr="00984093" w:rsidRDefault="00984093" w:rsidP="002177B0">
            <w:pPr>
              <w:rPr>
                <w:sz w:val="20"/>
                <w:szCs w:val="20"/>
              </w:rPr>
            </w:pPr>
            <w:r w:rsidRPr="00984093">
              <w:rPr>
                <w:sz w:val="20"/>
                <w:szCs w:val="20"/>
              </w:rPr>
              <w:t xml:space="preserve">11 De kandidaten kunnen uitleggen hoe David Hume bij bewustzijnsverschijnselen het onderscheid maakt tussen indrukken (impressies) en denkbeelden (ideeën).  </w:t>
            </w:r>
          </w:p>
        </w:tc>
        <w:tc>
          <w:tcPr>
            <w:tcW w:w="992" w:type="dxa"/>
            <w:shd w:val="clear" w:color="auto" w:fill="E2EFD9" w:themeFill="accent6" w:themeFillTint="33"/>
          </w:tcPr>
          <w:p w:rsidR="00984093" w:rsidRDefault="00984093" w:rsidP="002177B0"/>
        </w:tc>
      </w:tr>
      <w:tr w:rsidR="00984093" w:rsidTr="00984093">
        <w:trPr>
          <w:trHeight w:val="1079"/>
        </w:trPr>
        <w:tc>
          <w:tcPr>
            <w:tcW w:w="2127" w:type="dxa"/>
            <w:vMerge/>
            <w:shd w:val="clear" w:color="auto" w:fill="E2EFD9" w:themeFill="accent6" w:themeFillTint="33"/>
          </w:tcPr>
          <w:p w:rsidR="00984093" w:rsidRDefault="00984093" w:rsidP="002177B0"/>
        </w:tc>
        <w:tc>
          <w:tcPr>
            <w:tcW w:w="1547" w:type="dxa"/>
            <w:vMerge/>
            <w:shd w:val="clear" w:color="auto" w:fill="E2EFD9" w:themeFill="accent6" w:themeFillTint="33"/>
          </w:tcPr>
          <w:p w:rsidR="00984093" w:rsidRDefault="00984093" w:rsidP="002177B0"/>
        </w:tc>
        <w:tc>
          <w:tcPr>
            <w:tcW w:w="2477" w:type="dxa"/>
            <w:shd w:val="clear" w:color="auto" w:fill="E2EFD9" w:themeFill="accent6" w:themeFillTint="33"/>
          </w:tcPr>
          <w:p w:rsidR="00984093" w:rsidRDefault="00984093" w:rsidP="002177B0">
            <w:r>
              <w:t>Enkelvoudige &amp; complexe ideeën</w:t>
            </w:r>
          </w:p>
        </w:tc>
        <w:tc>
          <w:tcPr>
            <w:tcW w:w="8166" w:type="dxa"/>
            <w:shd w:val="clear" w:color="auto" w:fill="E2EFD9" w:themeFill="accent6" w:themeFillTint="33"/>
          </w:tcPr>
          <w:p w:rsidR="00984093" w:rsidRPr="00984093" w:rsidRDefault="00984093" w:rsidP="002177B0">
            <w:pPr>
              <w:rPr>
                <w:sz w:val="20"/>
                <w:szCs w:val="20"/>
              </w:rPr>
            </w:pPr>
            <w:r w:rsidRPr="00984093">
              <w:rPr>
                <w:sz w:val="20"/>
                <w:szCs w:val="20"/>
              </w:rPr>
              <w:t>12 De kandidaten kunnen uitleggen hoe en op grond waarvan Hume een verschil maakt tussen enkelvoudige en complexe denkbeelden (ideeën) en daarbij aangeven dat complexe denkbeelden betrekking kunnen hebben op concrete, abstracte of denkbeeldige zaken.</w:t>
            </w:r>
          </w:p>
        </w:tc>
        <w:tc>
          <w:tcPr>
            <w:tcW w:w="992" w:type="dxa"/>
            <w:shd w:val="clear" w:color="auto" w:fill="E2EFD9" w:themeFill="accent6" w:themeFillTint="33"/>
          </w:tcPr>
          <w:p w:rsidR="00984093" w:rsidRDefault="00984093" w:rsidP="002177B0"/>
        </w:tc>
      </w:tr>
      <w:tr w:rsidR="00984093" w:rsidTr="00984093">
        <w:trPr>
          <w:trHeight w:val="1359"/>
        </w:trPr>
        <w:tc>
          <w:tcPr>
            <w:tcW w:w="2127" w:type="dxa"/>
            <w:vMerge/>
            <w:shd w:val="clear" w:color="auto" w:fill="E2EFD9" w:themeFill="accent6" w:themeFillTint="33"/>
          </w:tcPr>
          <w:p w:rsidR="00984093" w:rsidRDefault="00984093" w:rsidP="002177B0"/>
        </w:tc>
        <w:tc>
          <w:tcPr>
            <w:tcW w:w="1547" w:type="dxa"/>
            <w:vMerge/>
            <w:shd w:val="clear" w:color="auto" w:fill="E2EFD9" w:themeFill="accent6" w:themeFillTint="33"/>
          </w:tcPr>
          <w:p w:rsidR="00984093" w:rsidRDefault="00984093" w:rsidP="002177B0"/>
        </w:tc>
        <w:tc>
          <w:tcPr>
            <w:tcW w:w="2477" w:type="dxa"/>
            <w:shd w:val="clear" w:color="auto" w:fill="E2EFD9" w:themeFill="accent6" w:themeFillTint="33"/>
          </w:tcPr>
          <w:p w:rsidR="00984093" w:rsidRDefault="00984093" w:rsidP="002177B0">
            <w:r>
              <w:t>Causaliteit</w:t>
            </w:r>
          </w:p>
          <w:p w:rsidR="00984093" w:rsidRDefault="00984093" w:rsidP="002177B0">
            <w:r>
              <w:t>Inductie</w:t>
            </w:r>
          </w:p>
          <w:p w:rsidR="00984093" w:rsidRDefault="00984093" w:rsidP="002177B0">
            <w:r>
              <w:t>Uniformiteitsprincipe</w:t>
            </w:r>
          </w:p>
          <w:p w:rsidR="00984093" w:rsidRDefault="00984093" w:rsidP="002177B0">
            <w:proofErr w:type="gramStart"/>
            <w:r>
              <w:t>Psychologie /</w:t>
            </w:r>
            <w:proofErr w:type="gramEnd"/>
            <w:r>
              <w:t xml:space="preserve"> Filosofie</w:t>
            </w:r>
          </w:p>
        </w:tc>
        <w:tc>
          <w:tcPr>
            <w:tcW w:w="8166" w:type="dxa"/>
            <w:shd w:val="clear" w:color="auto" w:fill="E2EFD9" w:themeFill="accent6" w:themeFillTint="33"/>
          </w:tcPr>
          <w:p w:rsidR="00984093" w:rsidRPr="00984093" w:rsidRDefault="00984093" w:rsidP="002177B0">
            <w:pPr>
              <w:rPr>
                <w:sz w:val="20"/>
                <w:szCs w:val="20"/>
              </w:rPr>
            </w:pPr>
            <w:r w:rsidRPr="00984093">
              <w:rPr>
                <w:sz w:val="20"/>
                <w:szCs w:val="20"/>
              </w:rPr>
              <w:t>13 De kandidaten kunnen uitleggen waarom Hume een sceptische houding inneemt ten opzichte van zowel causaliteit als inductie en daarbij beargumenteren waarom het “uniformiteitsprincipe” volgens Hume in psychologisch opzicht onvermijdelijk is, maar in filosofisch opzicht niet te verantwoorden valt.</w:t>
            </w:r>
          </w:p>
        </w:tc>
        <w:tc>
          <w:tcPr>
            <w:tcW w:w="992" w:type="dxa"/>
            <w:shd w:val="clear" w:color="auto" w:fill="E2EFD9" w:themeFill="accent6" w:themeFillTint="33"/>
          </w:tcPr>
          <w:p w:rsidR="00984093" w:rsidRDefault="00984093" w:rsidP="002177B0"/>
        </w:tc>
      </w:tr>
      <w:tr w:rsidR="00984093" w:rsidTr="00984093">
        <w:trPr>
          <w:trHeight w:val="812"/>
        </w:trPr>
        <w:tc>
          <w:tcPr>
            <w:tcW w:w="2127" w:type="dxa"/>
            <w:vMerge/>
            <w:shd w:val="clear" w:color="auto" w:fill="E2EFD9" w:themeFill="accent6" w:themeFillTint="33"/>
          </w:tcPr>
          <w:p w:rsidR="00984093" w:rsidRDefault="00984093" w:rsidP="002177B0"/>
        </w:tc>
        <w:tc>
          <w:tcPr>
            <w:tcW w:w="1547" w:type="dxa"/>
            <w:vMerge/>
            <w:shd w:val="clear" w:color="auto" w:fill="E2EFD9" w:themeFill="accent6" w:themeFillTint="33"/>
          </w:tcPr>
          <w:p w:rsidR="00984093" w:rsidRDefault="00984093" w:rsidP="002177B0"/>
        </w:tc>
        <w:tc>
          <w:tcPr>
            <w:tcW w:w="2477" w:type="dxa"/>
            <w:vMerge w:val="restart"/>
            <w:shd w:val="clear" w:color="auto" w:fill="E2EFD9" w:themeFill="accent6" w:themeFillTint="33"/>
          </w:tcPr>
          <w:p w:rsidR="00984093" w:rsidRDefault="00984093" w:rsidP="002177B0">
            <w:proofErr w:type="gramStart"/>
            <w:r>
              <w:t>Psychologie /</w:t>
            </w:r>
            <w:proofErr w:type="gramEnd"/>
            <w:r>
              <w:t xml:space="preserve"> Filosofie</w:t>
            </w:r>
          </w:p>
        </w:tc>
        <w:tc>
          <w:tcPr>
            <w:tcW w:w="8166" w:type="dxa"/>
            <w:shd w:val="clear" w:color="auto" w:fill="E2EFD9" w:themeFill="accent6" w:themeFillTint="33"/>
          </w:tcPr>
          <w:p w:rsidR="00984093" w:rsidRPr="00984093" w:rsidRDefault="00984093" w:rsidP="002177B0">
            <w:pPr>
              <w:rPr>
                <w:sz w:val="20"/>
                <w:szCs w:val="20"/>
              </w:rPr>
            </w:pPr>
            <w:r w:rsidRPr="00984093">
              <w:rPr>
                <w:sz w:val="20"/>
                <w:szCs w:val="20"/>
              </w:rPr>
              <w:t xml:space="preserve">22 De kandidaten kunnen reconstrueren hoe volgens Hume de noties dat objecten bestendig bestaan en dat ze los van de menselijke perceptie bestaan, psychologisch tot stand komen en met elkaar verbonden zijn.  </w:t>
            </w:r>
          </w:p>
        </w:tc>
        <w:tc>
          <w:tcPr>
            <w:tcW w:w="992" w:type="dxa"/>
            <w:shd w:val="clear" w:color="auto" w:fill="E2EFD9" w:themeFill="accent6" w:themeFillTint="33"/>
          </w:tcPr>
          <w:p w:rsidR="00984093" w:rsidRDefault="00984093" w:rsidP="002177B0"/>
        </w:tc>
      </w:tr>
      <w:tr w:rsidR="00984093" w:rsidTr="00984093">
        <w:trPr>
          <w:trHeight w:val="1359"/>
        </w:trPr>
        <w:tc>
          <w:tcPr>
            <w:tcW w:w="2127" w:type="dxa"/>
            <w:vMerge/>
            <w:shd w:val="clear" w:color="auto" w:fill="E2EFD9" w:themeFill="accent6" w:themeFillTint="33"/>
          </w:tcPr>
          <w:p w:rsidR="00984093" w:rsidRDefault="00984093" w:rsidP="002177B0"/>
        </w:tc>
        <w:tc>
          <w:tcPr>
            <w:tcW w:w="1547" w:type="dxa"/>
            <w:vMerge/>
            <w:shd w:val="clear" w:color="auto" w:fill="E2EFD9" w:themeFill="accent6" w:themeFillTint="33"/>
          </w:tcPr>
          <w:p w:rsidR="00984093" w:rsidRDefault="00984093" w:rsidP="002177B0"/>
        </w:tc>
        <w:tc>
          <w:tcPr>
            <w:tcW w:w="2477" w:type="dxa"/>
            <w:vMerge/>
            <w:shd w:val="clear" w:color="auto" w:fill="E2EFD9" w:themeFill="accent6" w:themeFillTint="33"/>
          </w:tcPr>
          <w:p w:rsidR="00984093" w:rsidRDefault="00984093" w:rsidP="002177B0"/>
        </w:tc>
        <w:tc>
          <w:tcPr>
            <w:tcW w:w="8166" w:type="dxa"/>
            <w:shd w:val="clear" w:color="auto" w:fill="E2EFD9" w:themeFill="accent6" w:themeFillTint="33"/>
          </w:tcPr>
          <w:p w:rsidR="00984093" w:rsidRPr="00984093" w:rsidRDefault="00984093" w:rsidP="002177B0">
            <w:pPr>
              <w:rPr>
                <w:sz w:val="20"/>
                <w:szCs w:val="20"/>
              </w:rPr>
            </w:pPr>
            <w:r w:rsidRPr="00984093">
              <w:rPr>
                <w:sz w:val="20"/>
                <w:szCs w:val="20"/>
              </w:rPr>
              <w:t>23 De kandidaten kunnen de argumentatie van Hume reconstrueren dat het uitwendig bestaan niet met de zintuigen kan worden bewezen en dat daarmee noch de ervaring van de eigen ledematen, noch geluiden, smaken en geuren, noch ons gezichtsvermogen, een bewijs vormen voor een uitwendig bestaan van objecten die los zouden staan van onze percepties</w:t>
            </w:r>
          </w:p>
        </w:tc>
        <w:tc>
          <w:tcPr>
            <w:tcW w:w="992" w:type="dxa"/>
            <w:shd w:val="clear" w:color="auto" w:fill="E2EFD9" w:themeFill="accent6" w:themeFillTint="33"/>
          </w:tcPr>
          <w:p w:rsidR="00984093" w:rsidRDefault="00984093" w:rsidP="002177B0"/>
        </w:tc>
      </w:tr>
      <w:tr w:rsidR="00984093" w:rsidTr="00984093">
        <w:trPr>
          <w:trHeight w:val="1346"/>
        </w:trPr>
        <w:tc>
          <w:tcPr>
            <w:tcW w:w="2127" w:type="dxa"/>
            <w:vMerge/>
            <w:shd w:val="clear" w:color="auto" w:fill="E2EFD9" w:themeFill="accent6" w:themeFillTint="33"/>
          </w:tcPr>
          <w:p w:rsidR="00984093" w:rsidRDefault="00984093" w:rsidP="002177B0"/>
        </w:tc>
        <w:tc>
          <w:tcPr>
            <w:tcW w:w="1547" w:type="dxa"/>
            <w:vMerge/>
            <w:shd w:val="clear" w:color="auto" w:fill="E2EFD9" w:themeFill="accent6" w:themeFillTint="33"/>
          </w:tcPr>
          <w:p w:rsidR="00984093" w:rsidRDefault="00984093" w:rsidP="002177B0"/>
        </w:tc>
        <w:tc>
          <w:tcPr>
            <w:tcW w:w="2477" w:type="dxa"/>
            <w:shd w:val="clear" w:color="auto" w:fill="E2EFD9" w:themeFill="accent6" w:themeFillTint="33"/>
          </w:tcPr>
          <w:p w:rsidR="00984093" w:rsidRDefault="00984093" w:rsidP="002177B0">
            <w:r>
              <w:t xml:space="preserve">Onafhankelijke percepties </w:t>
            </w:r>
            <w:r>
              <w:br/>
              <w:t>(p. 166, alinea 2)</w:t>
            </w:r>
          </w:p>
        </w:tc>
        <w:tc>
          <w:tcPr>
            <w:tcW w:w="8166" w:type="dxa"/>
            <w:shd w:val="clear" w:color="auto" w:fill="E2EFD9" w:themeFill="accent6" w:themeFillTint="33"/>
          </w:tcPr>
          <w:p w:rsidR="00984093" w:rsidRPr="00984093" w:rsidRDefault="00984093" w:rsidP="002177B0">
            <w:pPr>
              <w:rPr>
                <w:sz w:val="20"/>
                <w:szCs w:val="20"/>
              </w:rPr>
            </w:pPr>
            <w:r w:rsidRPr="00984093">
              <w:rPr>
                <w:sz w:val="20"/>
                <w:szCs w:val="20"/>
              </w:rPr>
              <w:t>24 De kandidaten kunnen de argumentatie van Hume reconstrueren dat er geen onderscheid is in de drie soorten indrukken, te weten (a) gestalte, massa, beweging en vastheid van lichamen; (b) kleur, smaak, geur en (c) ervaringen van pijn en genot, en dat bijgevolg het toekennen van een zelfstandig en bestendig bestaan aan objecten, een product van de verbeelding is.</w:t>
            </w:r>
          </w:p>
        </w:tc>
        <w:tc>
          <w:tcPr>
            <w:tcW w:w="992" w:type="dxa"/>
            <w:shd w:val="clear" w:color="auto" w:fill="E2EFD9" w:themeFill="accent6" w:themeFillTint="33"/>
          </w:tcPr>
          <w:p w:rsidR="00984093" w:rsidRDefault="00984093" w:rsidP="002177B0"/>
        </w:tc>
      </w:tr>
    </w:tbl>
    <w:p w:rsidR="008D4FD1" w:rsidRDefault="008D4FD1"/>
    <w:sectPr w:rsidR="008D4FD1" w:rsidSect="002177B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688" w:rsidRDefault="00EA3688" w:rsidP="00976A96">
      <w:pPr>
        <w:spacing w:after="0" w:line="240" w:lineRule="auto"/>
      </w:pPr>
      <w:r>
        <w:separator/>
      </w:r>
    </w:p>
  </w:endnote>
  <w:endnote w:type="continuationSeparator" w:id="0">
    <w:p w:rsidR="00EA3688" w:rsidRDefault="00EA3688" w:rsidP="0097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688" w:rsidRDefault="00EA3688" w:rsidP="00976A96">
      <w:pPr>
        <w:spacing w:after="0" w:line="240" w:lineRule="auto"/>
      </w:pPr>
      <w:r>
        <w:separator/>
      </w:r>
    </w:p>
  </w:footnote>
  <w:footnote w:type="continuationSeparator" w:id="0">
    <w:p w:rsidR="00EA3688" w:rsidRDefault="00EA3688" w:rsidP="00976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81A"/>
    <w:multiLevelType w:val="hybridMultilevel"/>
    <w:tmpl w:val="A688294A"/>
    <w:lvl w:ilvl="0" w:tplc="5502C16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896212"/>
    <w:multiLevelType w:val="hybridMultilevel"/>
    <w:tmpl w:val="2A3810DC"/>
    <w:lvl w:ilvl="0" w:tplc="D5D6ED82">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8B3D07"/>
    <w:multiLevelType w:val="hybridMultilevel"/>
    <w:tmpl w:val="34BEB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D1"/>
    <w:rsid w:val="002177B0"/>
    <w:rsid w:val="002872C4"/>
    <w:rsid w:val="002F3D9E"/>
    <w:rsid w:val="005448F6"/>
    <w:rsid w:val="00810F51"/>
    <w:rsid w:val="008D4FD1"/>
    <w:rsid w:val="00901122"/>
    <w:rsid w:val="00976A96"/>
    <w:rsid w:val="00984093"/>
    <w:rsid w:val="009D3D6F"/>
    <w:rsid w:val="00A01EAD"/>
    <w:rsid w:val="00BB3E27"/>
    <w:rsid w:val="00C7595D"/>
    <w:rsid w:val="00EA3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B2F2"/>
  <w15:chartTrackingRefBased/>
  <w15:docId w15:val="{442D7E3C-8B4B-4470-9C0A-3F13FF89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4F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872C4"/>
    <w:pPr>
      <w:ind w:left="720"/>
      <w:contextualSpacing/>
    </w:pPr>
  </w:style>
  <w:style w:type="paragraph" w:styleId="Koptekst">
    <w:name w:val="header"/>
    <w:basedOn w:val="Standaard"/>
    <w:link w:val="KoptekstChar"/>
    <w:uiPriority w:val="99"/>
    <w:unhideWhenUsed/>
    <w:rsid w:val="00976A9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76A96"/>
  </w:style>
  <w:style w:type="paragraph" w:styleId="Voettekst">
    <w:name w:val="footer"/>
    <w:basedOn w:val="Standaard"/>
    <w:link w:val="VoettekstChar"/>
    <w:uiPriority w:val="99"/>
    <w:unhideWhenUsed/>
    <w:rsid w:val="00976A9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7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2</cp:revision>
  <dcterms:created xsi:type="dcterms:W3CDTF">2018-03-25T14:56:00Z</dcterms:created>
  <dcterms:modified xsi:type="dcterms:W3CDTF">2018-03-25T14:56:00Z</dcterms:modified>
</cp:coreProperties>
</file>