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1271"/>
        <w:gridCol w:w="7745"/>
      </w:tblGrid>
      <w:tr w:rsidR="00F549D4" w14:paraId="699F22FA" w14:textId="77777777" w:rsidTr="00F549D4">
        <w:tc>
          <w:tcPr>
            <w:tcW w:w="1271" w:type="dxa"/>
            <w:vAlign w:val="center"/>
          </w:tcPr>
          <w:p w14:paraId="1B5E2C28" w14:textId="774ED03E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Inleiding</w:t>
            </w:r>
          </w:p>
        </w:tc>
        <w:tc>
          <w:tcPr>
            <w:tcW w:w="7745" w:type="dxa"/>
            <w:vAlign w:val="center"/>
          </w:tcPr>
          <w:p w14:paraId="795C8CF7" w14:textId="77777777" w:rsidR="00F549D4" w:rsidRDefault="00F549D4" w:rsidP="00F549D4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</w:pP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Onderzoekende houding (eigen aan de leraar)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  <w:t>Onderzoekend handelen (</w:t>
            </w:r>
            <w:proofErr w:type="spellStart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observeerbaar</w:t>
            </w:r>
            <w:proofErr w:type="spellEnd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 gedrag) </w:t>
            </w:r>
          </w:p>
          <w:p w14:paraId="06D0B534" w14:textId="79D13227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Professionele </w:t>
            </w:r>
            <w:proofErr w:type="spellStart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onderzoekscultuur</w:t>
            </w:r>
            <w:proofErr w:type="spellEnd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 (manier van doen en laten in de school) Professionele identiteit (de leraar</w:t>
            </w:r>
            <w:r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 als 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onderzoeker) 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3C1EE002" w14:textId="77777777" w:rsidTr="00F549D4">
        <w:tc>
          <w:tcPr>
            <w:tcW w:w="1271" w:type="dxa"/>
            <w:vAlign w:val="center"/>
          </w:tcPr>
          <w:p w14:paraId="780A5BF2" w14:textId="4DB78301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Groep 1:</w:t>
            </w:r>
          </w:p>
        </w:tc>
        <w:tc>
          <w:tcPr>
            <w:tcW w:w="7745" w:type="dxa"/>
            <w:vAlign w:val="center"/>
          </w:tcPr>
          <w:p w14:paraId="4076451B" w14:textId="14299854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VO Teamleren: Leerateliers: nu nog een sneeuwbaleffect (niet verspreiden) – (Nog niet online – onder embargo)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02CF3D19" w14:textId="77777777" w:rsidTr="00F549D4">
        <w:tc>
          <w:tcPr>
            <w:tcW w:w="1271" w:type="dxa"/>
            <w:vAlign w:val="center"/>
          </w:tcPr>
          <w:p w14:paraId="5A0B9BE0" w14:textId="1AC595A0" w:rsidR="00F549D4" w:rsidRDefault="00F549D4" w:rsidP="00F549D4">
            <w:hyperlink r:id="rId4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2:</w:t>
              </w:r>
            </w:hyperlink>
          </w:p>
        </w:tc>
        <w:tc>
          <w:tcPr>
            <w:tcW w:w="7745" w:type="dxa"/>
            <w:vAlign w:val="center"/>
          </w:tcPr>
          <w:p w14:paraId="0A67B546" w14:textId="2909DD10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Het leren van leraren in een context van onderwijsvernieuwingen: waarom is het zo moeilijk? (Blz. 29 t/m 32)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059AFC29" w14:textId="77777777" w:rsidTr="00F549D4">
        <w:tc>
          <w:tcPr>
            <w:tcW w:w="1271" w:type="dxa"/>
            <w:vAlign w:val="center"/>
          </w:tcPr>
          <w:p w14:paraId="29A21046" w14:textId="7A7282A7" w:rsidR="00F549D4" w:rsidRDefault="00F549D4" w:rsidP="00F549D4">
            <w:hyperlink r:id="rId5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3:</w:t>
              </w:r>
            </w:hyperlink>
          </w:p>
        </w:tc>
        <w:tc>
          <w:tcPr>
            <w:tcW w:w="7745" w:type="dxa"/>
            <w:vAlign w:val="center"/>
          </w:tcPr>
          <w:p w14:paraId="4957294B" w14:textId="160B4AB0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Een stimulerende en kansen biedende werkomgeving voor leraren. Uit: Een op lerengerichte werkomgeving voor leraren in de school (Blz. 8 t/m 17).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322C7FA3" w14:textId="77777777" w:rsidTr="00F549D4">
        <w:tc>
          <w:tcPr>
            <w:tcW w:w="1271" w:type="dxa"/>
            <w:vAlign w:val="center"/>
          </w:tcPr>
          <w:p w14:paraId="0A287E1A" w14:textId="4A3D0BE4" w:rsidR="00F549D4" w:rsidRDefault="00F549D4" w:rsidP="00F549D4">
            <w:hyperlink r:id="rId6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4:</w:t>
              </w:r>
            </w:hyperlink>
          </w:p>
        </w:tc>
        <w:tc>
          <w:tcPr>
            <w:tcW w:w="7745" w:type="dxa"/>
            <w:vAlign w:val="center"/>
          </w:tcPr>
          <w:p w14:paraId="4E7A5D6C" w14:textId="22FE0E62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Schoolleiders en schoolautonomie: ambities, drijfveren en verantwoording (Blz. 18 t/m 21). </w:t>
            </w:r>
            <w:hyperlink r:id="rId7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https://www.nro.nl/onderzoekende-houding-en-cultuur</w:t>
              </w:r>
            </w:hyperlink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259310D2" w14:textId="77777777" w:rsidTr="00F549D4">
        <w:tc>
          <w:tcPr>
            <w:tcW w:w="1271" w:type="dxa"/>
            <w:vAlign w:val="center"/>
          </w:tcPr>
          <w:p w14:paraId="1C910A5C" w14:textId="077A964E" w:rsidR="00F549D4" w:rsidRDefault="00F549D4" w:rsidP="00F549D4">
            <w:hyperlink r:id="rId8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5:</w:t>
              </w:r>
            </w:hyperlink>
          </w:p>
        </w:tc>
        <w:tc>
          <w:tcPr>
            <w:tcW w:w="7745" w:type="dxa"/>
            <w:vAlign w:val="center"/>
          </w:tcPr>
          <w:p w14:paraId="03473229" w14:textId="04E4D381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Onderzoekend handelen in de dagelijkse praktijk (Figuur 1)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5E220E54" w14:textId="77777777" w:rsidTr="00F549D4">
        <w:tc>
          <w:tcPr>
            <w:tcW w:w="1271" w:type="dxa"/>
            <w:vAlign w:val="center"/>
          </w:tcPr>
          <w:p w14:paraId="2AC5EB5D" w14:textId="5992B2EF" w:rsidR="00F549D4" w:rsidRDefault="00F549D4" w:rsidP="00F549D4">
            <w:hyperlink r:id="rId9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6:</w:t>
              </w:r>
            </w:hyperlink>
          </w:p>
        </w:tc>
        <w:tc>
          <w:tcPr>
            <w:tcW w:w="7745" w:type="dxa"/>
            <w:vAlign w:val="center"/>
          </w:tcPr>
          <w:p w14:paraId="05E32136" w14:textId="6BE76811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Praktijkgericht onderzoek in wisselwerking. 1. De huidige situatie in vogelvlucht (Blz. 4 t/m 9)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2C22BF19" w14:textId="77777777" w:rsidTr="00F549D4">
        <w:tc>
          <w:tcPr>
            <w:tcW w:w="1271" w:type="dxa"/>
            <w:vAlign w:val="center"/>
          </w:tcPr>
          <w:p w14:paraId="74529F52" w14:textId="27904DF0" w:rsidR="00F549D4" w:rsidRDefault="00F549D4" w:rsidP="00F549D4">
            <w:hyperlink r:id="rId10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7:</w:t>
              </w:r>
            </w:hyperlink>
          </w:p>
        </w:tc>
        <w:tc>
          <w:tcPr>
            <w:tcW w:w="7745" w:type="dxa"/>
            <w:vAlign w:val="center"/>
          </w:tcPr>
          <w:p w14:paraId="20B702CE" w14:textId="660AAA1B" w:rsidR="00F549D4" w:rsidRDefault="00F549D4" w:rsidP="00F549D4"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Startnotitie-Sleutels voor </w:t>
            </w:r>
            <w:proofErr w:type="spellStart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evidence-informed</w:t>
            </w:r>
            <w:proofErr w:type="spellEnd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 werken. 3.Sleutel mechanismen voor </w:t>
            </w:r>
            <w:proofErr w:type="spellStart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evidence-informed</w:t>
            </w:r>
            <w:proofErr w:type="spellEnd"/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 xml:space="preserve"> werken (Blz. 10 t/m 16)</w:t>
            </w: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br/>
            </w:r>
          </w:p>
        </w:tc>
      </w:tr>
      <w:tr w:rsidR="00F549D4" w14:paraId="0021DF93" w14:textId="77777777" w:rsidTr="00F549D4">
        <w:tc>
          <w:tcPr>
            <w:tcW w:w="1271" w:type="dxa"/>
            <w:vAlign w:val="center"/>
          </w:tcPr>
          <w:p w14:paraId="5F4CCB57" w14:textId="2E8AB018" w:rsidR="00F549D4" w:rsidRPr="00F549D4" w:rsidRDefault="00F549D4" w:rsidP="00F549D4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</w:pPr>
            <w:hyperlink r:id="rId11" w:tgtFrame="_blank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Groep 8:</w:t>
              </w:r>
            </w:hyperlink>
          </w:p>
        </w:tc>
        <w:tc>
          <w:tcPr>
            <w:tcW w:w="7745" w:type="dxa"/>
            <w:vAlign w:val="center"/>
          </w:tcPr>
          <w:p w14:paraId="2021B122" w14:textId="19924A36" w:rsidR="00F549D4" w:rsidRPr="00F549D4" w:rsidRDefault="00F549D4" w:rsidP="00F549D4">
            <w:pPr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</w:pPr>
            <w:r w:rsidRPr="00F549D4">
              <w:rPr>
                <w:rFonts w:ascii="Arial" w:eastAsia="Times New Roman" w:hAnsi="Arial" w:cs="Arial"/>
                <w:color w:val="444545"/>
                <w:sz w:val="21"/>
                <w:szCs w:val="21"/>
                <w:lang w:eastAsia="nl-NL"/>
              </w:rPr>
              <w:t>PPT Jeroen Imants – Workshop Onderzoekende Houding (Dia. 11 en 14) </w:t>
            </w:r>
            <w:hyperlink r:id="rId12" w:history="1">
              <w:r w:rsidRPr="00F549D4">
                <w:rPr>
                  <w:rFonts w:ascii="Arial" w:eastAsia="Times New Roman" w:hAnsi="Arial" w:cs="Arial"/>
                  <w:color w:val="06BCF9"/>
                  <w:sz w:val="21"/>
                  <w:szCs w:val="21"/>
                  <w:u w:val="single"/>
                  <w:lang w:eastAsia="nl-NL"/>
                </w:rPr>
                <w:t>https://www.nro.nl/nieuws/onderzoek-en-onderwijspraktijk-verbinden-vier-randvoorwaarden-voor-een-succesvolle</w:t>
              </w:r>
            </w:hyperlink>
          </w:p>
        </w:tc>
      </w:tr>
    </w:tbl>
    <w:p w14:paraId="68DC4F20" w14:textId="697DF81A" w:rsidR="00F2005A" w:rsidRDefault="00F2005A"/>
    <w:p w14:paraId="20A3FA0E" w14:textId="4A7DD1CD" w:rsidR="00F549D4" w:rsidRDefault="00F549D4">
      <w:r>
        <w:rPr>
          <w:noProof/>
        </w:rPr>
        <w:drawing>
          <wp:inline distT="0" distB="0" distL="0" distR="0" wp14:anchorId="510DD61C" wp14:editId="0C6A8F2D">
            <wp:extent cx="5731510" cy="324167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D4"/>
    <w:rsid w:val="005E4169"/>
    <w:rsid w:val="00F2005A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CE9B"/>
  <w15:chartTrackingRefBased/>
  <w15:docId w15:val="{9DAF8080-E2DD-44D7-9A43-1FD0B0DB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e.gruijthuijzen.nl/onderzoekend-handelen-groep-5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ro.nl/onderzoekende-houding-en-cultuur" TargetMode="External"/><Relationship Id="rId12" Type="http://schemas.openxmlformats.org/officeDocument/2006/relationships/hyperlink" Target="https://www.nro.nl/nieuws/onderzoek-en-onderwijspraktijk-verbinden-vier-randvoorwaarden-voor-een-succesvo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osofie.gruijthuijzen.nl/category/onderzoekend-handelen-groep-4/" TargetMode="External"/><Relationship Id="rId11" Type="http://schemas.openxmlformats.org/officeDocument/2006/relationships/hyperlink" Target="https://filosofie.gruijthuijzen.nl/category/onderzoekend-handelen-groep-8/" TargetMode="External"/><Relationship Id="rId5" Type="http://schemas.openxmlformats.org/officeDocument/2006/relationships/hyperlink" Target="https://filosofie.gruijthuijzen.nl/category/onderzoekend-handelen-groep-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losofie.gruijthuijzen.nl/category/onderzoekend-handelen-groep-7/" TargetMode="External"/><Relationship Id="rId4" Type="http://schemas.openxmlformats.org/officeDocument/2006/relationships/hyperlink" Target="https://filosofie.gruijthuijzen.nl/category/onderzoekend-handelen-groep-2/" TargetMode="External"/><Relationship Id="rId9" Type="http://schemas.openxmlformats.org/officeDocument/2006/relationships/hyperlink" Target="https://filosofie.gruijthuijzen.nl/onderzoekend-handelen-groep-6-blz-4-t-m-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2021-02-11T12:23:00Z</dcterms:created>
  <dcterms:modified xsi:type="dcterms:W3CDTF">2021-02-11T13:51:00Z</dcterms:modified>
</cp:coreProperties>
</file>