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0C5C7B" w14:textId="7C8E67DB" w:rsidR="00BE583F" w:rsidRDefault="007930C9" w:rsidP="00BE583F">
      <w:r>
        <w:fldChar w:fldCharType="begin"/>
      </w:r>
      <w:r>
        <w:instrText>HYPERLINK "https://specials.app.nos.nl/dataverhalen-tk2025"</w:instrText>
      </w:r>
      <w:r>
        <w:fldChar w:fldCharType="separate"/>
      </w:r>
      <w:r w:rsidRPr="007930C9">
        <w:rPr>
          <w:rStyle w:val="Hyperlink"/>
        </w:rPr>
        <w:t>De NOS-app</w:t>
      </w:r>
      <w:r>
        <w:fldChar w:fldCharType="end"/>
      </w:r>
      <w:r>
        <w:t xml:space="preserve"> </w:t>
      </w:r>
    </w:p>
    <w:p w14:paraId="5F808514" w14:textId="1AE3BC56" w:rsidR="00022B56" w:rsidRDefault="00022B56" w:rsidP="00022B56">
      <w:r>
        <w:t xml:space="preserve">Op woensdag 29 oktober krijgen alle Nederlandse burgers van 18 jaar of ouder de mogelijkheid om een stem uit te brengen op een verkiesbaar persoon naar keuze. Er zijn verschillende onderzoeken gedaan naar de voorkeuren van de Nederlandse kiezer. Het </w:t>
      </w:r>
      <w:hyperlink r:id="rId5" w:history="1">
        <w:r w:rsidRPr="003C4131">
          <w:rPr>
            <w:rStyle w:val="Hyperlink"/>
          </w:rPr>
          <w:t>RTL Nieuwspanel</w:t>
        </w:r>
      </w:hyperlink>
      <w:r>
        <w:t xml:space="preserve"> van juli in 2025 geeft aan dat de meeste kiezers het thema </w:t>
      </w:r>
      <w:r w:rsidRPr="00022B56">
        <w:rPr>
          <w:i/>
          <w:iCs/>
        </w:rPr>
        <w:t>Wonen</w:t>
      </w:r>
      <w:r>
        <w:t xml:space="preserve">, gevolgd door de </w:t>
      </w:r>
      <w:r w:rsidRPr="00022B56">
        <w:rPr>
          <w:i/>
          <w:iCs/>
        </w:rPr>
        <w:t>Gezondheidszorg</w:t>
      </w:r>
      <w:r>
        <w:t xml:space="preserve"> en </w:t>
      </w:r>
      <w:r w:rsidRPr="00022B56">
        <w:rPr>
          <w:i/>
          <w:iCs/>
        </w:rPr>
        <w:t>Asiel en migratie</w:t>
      </w:r>
      <w:r>
        <w:t xml:space="preserve"> als de belangrijkste drie thema’s voor de komende verkiezingen. </w:t>
      </w:r>
      <w:r w:rsidR="003C4131">
        <w:t xml:space="preserve">Een panel van het </w:t>
      </w:r>
      <w:hyperlink r:id="rId6" w:history="1">
        <w:r w:rsidR="003C4131" w:rsidRPr="003C4131">
          <w:rPr>
            <w:rStyle w:val="Hyperlink"/>
          </w:rPr>
          <w:t>tv-programma Hart van Nederland</w:t>
        </w:r>
      </w:hyperlink>
      <w:r w:rsidR="003C4131">
        <w:t xml:space="preserve"> in juli 2025 komt met dezelfde thema’s, maar in een andere volgorde, namelijk Woningbouw, Asiel en Gezondheidszorg. Het </w:t>
      </w:r>
      <w:hyperlink r:id="rId7" w:history="1">
        <w:r w:rsidR="003C4131" w:rsidRPr="00DE0D39">
          <w:rPr>
            <w:rStyle w:val="Hyperlink"/>
          </w:rPr>
          <w:t xml:space="preserve">tv-programma </w:t>
        </w:r>
        <w:proofErr w:type="spellStart"/>
        <w:r w:rsidR="003C4131" w:rsidRPr="00DE0D39">
          <w:rPr>
            <w:rStyle w:val="Hyperlink"/>
          </w:rPr>
          <w:t>EenVandaag</w:t>
        </w:r>
        <w:proofErr w:type="spellEnd"/>
      </w:hyperlink>
      <w:r w:rsidR="003C4131">
        <w:t xml:space="preserve"> heeft een van de grootste opiniepanels (+25000). Zij houden ook de ontwikkeling van de belangrijkste thema’s bij. Uit dit opiniepanel blijkt in juli ook dat Wonen, Asiel en Gezondheidszorg de belangrijkste thema’s zijn. </w:t>
      </w:r>
    </w:p>
    <w:p w14:paraId="0FA285DA" w14:textId="510951C5" w:rsidR="00DE0D39" w:rsidRDefault="00DE0D39" w:rsidP="00022B56">
      <w:r>
        <w:t xml:space="preserve">In 2023 bestond de </w:t>
      </w:r>
      <w:hyperlink r:id="rId8" w:history="1">
        <w:r w:rsidRPr="00DE0D39">
          <w:rPr>
            <w:rStyle w:val="Hyperlink"/>
          </w:rPr>
          <w:t>kiesgerechtigde bevolking</w:t>
        </w:r>
      </w:hyperlink>
      <w:r>
        <w:t xml:space="preserve"> (het aantal burgers met een Nederlands paspoort van 18 jaar of ouder) uit meer dan dertien miljoen mensen. Het mag vanzelfsprekend zijn, dat opiniepanels van 25.000 leden niet geheel representatief zijn voor de totale kiesgerechtigde bevolking. Echter, meerdere panels geven aan dat de belangrijkste thema’s voor de meeste Nederlandse stemgerechtigden de thema’s wonen, asiel en gezondheidszorg zijn. </w:t>
      </w:r>
    </w:p>
    <w:p w14:paraId="361FA7C7" w14:textId="093A0385" w:rsidR="00DE0D39" w:rsidRDefault="00DE0D39" w:rsidP="00022B56">
      <w:r>
        <w:t xml:space="preserve">De Nederlandse Omroepstichting (NOS) heeft een </w:t>
      </w:r>
      <w:hyperlink r:id="rId9" w:history="1">
        <w:r w:rsidRPr="00DE0D39">
          <w:rPr>
            <w:rStyle w:val="Hyperlink"/>
          </w:rPr>
          <w:t xml:space="preserve">interactieve </w:t>
        </w:r>
        <w:proofErr w:type="gramStart"/>
        <w:r w:rsidRPr="00DE0D39">
          <w:rPr>
            <w:rStyle w:val="Hyperlink"/>
          </w:rPr>
          <w:t>online applicatie</w:t>
        </w:r>
        <w:proofErr w:type="gramEnd"/>
      </w:hyperlink>
      <w:r>
        <w:t xml:space="preserve"> ontwikkeld. In deze app worden de drie thema’s verhelderd op basis van de cijfers van het </w:t>
      </w:r>
      <w:hyperlink r:id="rId10" w:history="1">
        <w:r w:rsidRPr="00DE0D39">
          <w:rPr>
            <w:rStyle w:val="Hyperlink"/>
          </w:rPr>
          <w:t>Centraal Bureau voor Statistieken</w:t>
        </w:r>
      </w:hyperlink>
      <w:r>
        <w:t xml:space="preserve"> (CBS). </w:t>
      </w:r>
      <w:r w:rsidR="00661C24">
        <w:t xml:space="preserve">Het CBS is sinds 1899 opgericht. Het CBS heeft een groot aantal statistici, academici, doctoren en professoren in </w:t>
      </w:r>
      <w:proofErr w:type="gramStart"/>
      <w:r w:rsidR="00661C24">
        <w:t>dienst,  met</w:t>
      </w:r>
      <w:proofErr w:type="gramEnd"/>
      <w:r w:rsidR="00661C24">
        <w:t xml:space="preserve"> expertise op talloze thema’s die spelen in Nederland. Ze verzamelen al meer dan 125 jaar data om deze vervolgens voor alle Nederlanders openbaar te maken. Alle data, onderzoeken en analyses zijn voor iedereen vrij toegankelijk. Hoewel de cijfers nooit helemaal perfect een vertaling maken van wat Nederlandse meemaken in het alledaagse leven, vertellen de cijfers wel een verhaal. </w:t>
      </w:r>
    </w:p>
    <w:p w14:paraId="6E38768A" w14:textId="53E38D04" w:rsidR="004633FC" w:rsidRDefault="00661C24" w:rsidP="00661C24">
      <w:r>
        <w:t xml:space="preserve">Daarnaast heeft de tweede kamer de opdracht gegeven om een staatscommissie onderzoek te laten doen naar </w:t>
      </w:r>
      <w:r w:rsidR="00554E94">
        <w:t xml:space="preserve">de ontwikkeling van de Nederlandse bevolking tot 2050.  </w:t>
      </w:r>
      <w:r>
        <w:t xml:space="preserve">Het onderzoek </w:t>
      </w:r>
      <w:hyperlink r:id="rId11" w:history="1">
        <w:r w:rsidRPr="00661C24">
          <w:rPr>
            <w:rStyle w:val="Hyperlink"/>
          </w:rPr>
          <w:t>Gematigde Groei</w:t>
        </w:r>
      </w:hyperlink>
      <w:r>
        <w:t xml:space="preserve"> van de Staatscommissie Demografische Ontwikkelingen 2050 </w:t>
      </w:r>
      <w:r w:rsidR="004633FC">
        <w:t xml:space="preserve">wordt gepresenteerd op 15 januari 2025. Het </w:t>
      </w:r>
      <w:r>
        <w:t xml:space="preserve">gaat diep in op de vraag welke groei wenselijk is. </w:t>
      </w:r>
      <w:r w:rsidR="00B470CC">
        <w:t xml:space="preserve">Drie fysieke exemplaren van dit rapport liggen in de boekenkast op gang 300. </w:t>
      </w:r>
      <w:r w:rsidR="00592F1C">
        <w:t>Drie factoren hebben invloed op de bevolkingsomvang</w:t>
      </w:r>
      <w:r w:rsidR="00040B77">
        <w:t xml:space="preserve"> (p.88), namelijk sterfte, kindertal en het migratiesaldo (</w:t>
      </w:r>
      <w:r w:rsidR="00592F1C" w:rsidRPr="00592F1C">
        <w:t>immigratie minus de emigratie).</w:t>
      </w:r>
      <w:r w:rsidR="004633FC">
        <w:t xml:space="preserve"> </w:t>
      </w:r>
      <w:r w:rsidR="007A03A2">
        <w:t xml:space="preserve">Het </w:t>
      </w:r>
      <w:hyperlink r:id="rId12" w:history="1">
        <w:r w:rsidR="007A03A2" w:rsidRPr="00A3103E">
          <w:rPr>
            <w:rStyle w:val="Hyperlink"/>
          </w:rPr>
          <w:t xml:space="preserve">reproductiecijfer </w:t>
        </w:r>
        <w:r w:rsidR="00A3103E" w:rsidRPr="00A3103E">
          <w:rPr>
            <w:rStyle w:val="Hyperlink"/>
          </w:rPr>
          <w:t>daalt</w:t>
        </w:r>
      </w:hyperlink>
      <w:r w:rsidR="00A3103E">
        <w:t xml:space="preserve"> al sinds jaren. Het </w:t>
      </w:r>
      <w:r w:rsidR="00E201F4">
        <w:t xml:space="preserve">reproductiecijfer </w:t>
      </w:r>
      <w:r w:rsidR="004E77A5">
        <w:t xml:space="preserve">was </w:t>
      </w:r>
      <w:r w:rsidR="00E201F4">
        <w:t xml:space="preserve">in </w:t>
      </w:r>
      <w:hyperlink r:id="rId13" w:history="1">
        <w:r w:rsidR="00E201F4" w:rsidRPr="00E201F4">
          <w:rPr>
            <w:rStyle w:val="Hyperlink"/>
          </w:rPr>
          <w:t>2024 was 1,43</w:t>
        </w:r>
      </w:hyperlink>
      <w:r w:rsidR="00735F32">
        <w:t xml:space="preserve">, </w:t>
      </w:r>
      <w:r w:rsidR="002E2410">
        <w:t xml:space="preserve">ver onder het </w:t>
      </w:r>
      <w:r w:rsidR="004E77A5">
        <w:t xml:space="preserve">gewenste </w:t>
      </w:r>
      <w:hyperlink r:id="rId14" w:history="1">
        <w:r w:rsidR="002E2410" w:rsidRPr="002E2410">
          <w:rPr>
            <w:rStyle w:val="Hyperlink"/>
          </w:rPr>
          <w:t>reproductiecijfer van 2,1</w:t>
        </w:r>
      </w:hyperlink>
      <w:r w:rsidR="004E77A5">
        <w:t>. Een reproductiecijfer van 2,1 is noodzakelijk</w:t>
      </w:r>
      <w:r w:rsidR="002E2410">
        <w:t xml:space="preserve"> om de bevolking op pijl te houden</w:t>
      </w:r>
      <w:r w:rsidR="00517E0C">
        <w:t xml:space="preserve">, waardoor de vacatures kunnen worden ingevuld </w:t>
      </w:r>
      <w:r w:rsidR="00FA64C3">
        <w:t>in de zorg, woningbouw, onderwijs, etc.</w:t>
      </w:r>
      <w:r w:rsidR="00517E0C">
        <w:t>, waardoor het land goed kan blijven draaien.</w:t>
      </w:r>
      <w:r w:rsidR="00FA64C3">
        <w:t xml:space="preserve"> </w:t>
      </w:r>
      <w:r w:rsidR="00945B26">
        <w:t xml:space="preserve">In de </w:t>
      </w:r>
      <w:hyperlink r:id="rId15" w:history="1">
        <w:r w:rsidR="00945B26" w:rsidRPr="00945B26">
          <w:rPr>
            <w:rStyle w:val="Hyperlink"/>
          </w:rPr>
          <w:t xml:space="preserve">HJ </w:t>
        </w:r>
        <w:proofErr w:type="spellStart"/>
        <w:r w:rsidR="00945B26" w:rsidRPr="00945B26">
          <w:rPr>
            <w:rStyle w:val="Hyperlink"/>
          </w:rPr>
          <w:t>Schoolezing</w:t>
        </w:r>
        <w:proofErr w:type="spellEnd"/>
      </w:hyperlink>
      <w:r w:rsidR="00945B26">
        <w:t xml:space="preserve"> refereert de toenmalige leider van het NSC, Pieter Omtzigt, </w:t>
      </w:r>
      <w:r w:rsidR="00945B26">
        <w:lastRenderedPageBreak/>
        <w:t xml:space="preserve">naar het reproductiecijfer. Hij stelt voor om </w:t>
      </w:r>
      <w:r w:rsidR="00E5799E">
        <w:t xml:space="preserve">het aantrekkelijker te maken om kinderen te krijgen. Het alternatief is namelijk het </w:t>
      </w:r>
      <w:r w:rsidR="003A0085">
        <w:t xml:space="preserve">toelaten van meer migranten om talloze vacatures in Nederland in te vullen. </w:t>
      </w:r>
      <w:r w:rsidR="00643907">
        <w:br/>
      </w:r>
      <w:r w:rsidR="00E156B6">
        <w:t xml:space="preserve">Er zijn </w:t>
      </w:r>
      <w:r w:rsidR="00643907">
        <w:t xml:space="preserve">daarnaast </w:t>
      </w:r>
      <w:r w:rsidR="00E156B6">
        <w:t xml:space="preserve">grote keuzes noodzakelijk in de zorg als gevolg van de </w:t>
      </w:r>
      <w:hyperlink r:id="rId16" w:history="1">
        <w:r w:rsidR="00E156B6" w:rsidRPr="00E156B6">
          <w:rPr>
            <w:rStyle w:val="Hyperlink"/>
          </w:rPr>
          <w:t>groeiende vergrijzing</w:t>
        </w:r>
      </w:hyperlink>
      <w:r w:rsidR="00E156B6">
        <w:t xml:space="preserve">. </w:t>
      </w:r>
      <w:r w:rsidR="00644122">
        <w:t>De samenleving vergrijst</w:t>
      </w:r>
      <w:r w:rsidR="00F16A89">
        <w:t xml:space="preserve"> (zie </w:t>
      </w:r>
      <w:r w:rsidR="008E1EE8">
        <w:t>figuur 3.6)</w:t>
      </w:r>
      <w:r w:rsidR="00644122">
        <w:t xml:space="preserve">, maar het aantal werkenden vermindert. </w:t>
      </w:r>
      <w:r w:rsidR="00643907">
        <w:t xml:space="preserve">Hier ontstaat er een spanningsveld. </w:t>
      </w:r>
      <w:r w:rsidR="00003EA8">
        <w:t xml:space="preserve">De </w:t>
      </w:r>
      <w:r w:rsidR="0026665F">
        <w:t>huishoudens bestaan</w:t>
      </w:r>
      <w:r w:rsidR="007D7E23">
        <w:t xml:space="preserve"> daarnaast</w:t>
      </w:r>
      <w:r w:rsidR="0026665F">
        <w:t xml:space="preserve"> </w:t>
      </w:r>
      <w:hyperlink r:id="rId17" w:history="1">
        <w:r w:rsidR="0026665F" w:rsidRPr="0026665F">
          <w:rPr>
            <w:rStyle w:val="Hyperlink"/>
          </w:rPr>
          <w:t>steeds vaker uit alleenstaanden</w:t>
        </w:r>
      </w:hyperlink>
      <w:r w:rsidR="00003EA8">
        <w:t xml:space="preserve">, </w:t>
      </w:r>
      <w:r w:rsidR="007D7E23">
        <w:t xml:space="preserve">waarbij </w:t>
      </w:r>
      <w:r w:rsidR="00D30BE1">
        <w:t xml:space="preserve">Nederlanders </w:t>
      </w:r>
      <w:hyperlink r:id="rId18" w:history="1">
        <w:r w:rsidR="00D30BE1" w:rsidRPr="00B70F8F">
          <w:rPr>
            <w:rStyle w:val="Hyperlink"/>
          </w:rPr>
          <w:t>het meeste aantal m2 woonruimte van alle Europese burgers</w:t>
        </w:r>
      </w:hyperlink>
      <w:r w:rsidR="007D7E23">
        <w:t xml:space="preserve"> hebben. </w:t>
      </w:r>
      <w:r w:rsidR="008614C9">
        <w:t xml:space="preserve">Nederland </w:t>
      </w:r>
      <w:hyperlink r:id="rId19" w:history="1">
        <w:r w:rsidR="008614C9" w:rsidRPr="00EC34AC">
          <w:rPr>
            <w:rStyle w:val="Hyperlink"/>
          </w:rPr>
          <w:t xml:space="preserve">gebruikt </w:t>
        </w:r>
        <w:r w:rsidR="00EC34AC" w:rsidRPr="00EC34AC">
          <w:rPr>
            <w:rStyle w:val="Hyperlink"/>
          </w:rPr>
          <w:t>(54%) aanzienlijk</w:t>
        </w:r>
      </w:hyperlink>
      <w:r w:rsidR="00EC34AC">
        <w:t xml:space="preserve"> meer grond voor land- en tuinbouw in vergelijking met andere landen binnen de Europese Unie (38%)</w:t>
      </w:r>
      <w:r w:rsidR="007D7E23">
        <w:t>. Caroline</w:t>
      </w:r>
      <w:r w:rsidR="00F4620D">
        <w:t xml:space="preserve"> van der Plas </w:t>
      </w:r>
      <w:hyperlink r:id="rId20" w:history="1">
        <w:r w:rsidR="00E54B1D">
          <w:rPr>
            <w:rStyle w:val="Hyperlink"/>
          </w:rPr>
          <w:t>benadrukt</w:t>
        </w:r>
      </w:hyperlink>
      <w:r w:rsidR="00E54B1D">
        <w:t xml:space="preserve"> niet voor niets het standpunt van de BBB, dat </w:t>
      </w:r>
      <w:r w:rsidR="00755A38">
        <w:t xml:space="preserve">Nederland </w:t>
      </w:r>
      <w:r w:rsidR="00E54B1D">
        <w:t xml:space="preserve">ligt in een </w:t>
      </w:r>
      <w:r w:rsidR="00F4620D">
        <w:t>vruchtbare delta</w:t>
      </w:r>
      <w:r w:rsidR="00755A38">
        <w:t xml:space="preserve"> </w:t>
      </w:r>
      <w:r w:rsidR="00E54B1D">
        <w:t xml:space="preserve">die </w:t>
      </w:r>
      <w:r w:rsidR="00755A38">
        <w:t>zeer geschikt</w:t>
      </w:r>
      <w:r w:rsidR="00E54B1D">
        <w:t xml:space="preserve"> is voor</w:t>
      </w:r>
      <w:r w:rsidR="00755A38">
        <w:t xml:space="preserve"> landbouwgrond</w:t>
      </w:r>
      <w:r w:rsidR="00E54B1D">
        <w:t>. Aan de andere kant is</w:t>
      </w:r>
      <w:r w:rsidR="00003EA8">
        <w:t xml:space="preserve"> </w:t>
      </w:r>
      <w:r w:rsidR="00B70F8F">
        <w:t>de</w:t>
      </w:r>
      <w:r w:rsidR="005008E9">
        <w:t xml:space="preserve"> </w:t>
      </w:r>
      <w:r w:rsidR="005173B4">
        <w:t xml:space="preserve">Nederlandse landbouwgrond de </w:t>
      </w:r>
      <w:hyperlink r:id="rId21" w:history="1">
        <w:r w:rsidR="005173B4" w:rsidRPr="005173B4">
          <w:rPr>
            <w:rStyle w:val="Hyperlink"/>
          </w:rPr>
          <w:t>duurste van Europa</w:t>
        </w:r>
      </w:hyperlink>
      <w:r w:rsidR="00B80566">
        <w:t>, waarbij het de vraag is of het nog wel rendabel is om in Nederland aan landbouw te doen met dergelijke hoge grondprijzen. H</w:t>
      </w:r>
      <w:r w:rsidR="00BE5DB2">
        <w:t>et doel om 100.000 woningen per jaar te bouwen</w:t>
      </w:r>
      <w:r w:rsidR="00B80566">
        <w:t xml:space="preserve"> wordt</w:t>
      </w:r>
      <w:r w:rsidR="00BE5DB2">
        <w:t xml:space="preserve"> </w:t>
      </w:r>
      <w:hyperlink r:id="rId22" w:history="1">
        <w:r w:rsidR="00BE5DB2" w:rsidRPr="00BE5DB2">
          <w:rPr>
            <w:rStyle w:val="Hyperlink"/>
          </w:rPr>
          <w:t>niet behaald</w:t>
        </w:r>
      </w:hyperlink>
      <w:r w:rsidR="00BE5DB2">
        <w:t xml:space="preserve"> en </w:t>
      </w:r>
      <w:r w:rsidR="00B80566">
        <w:t xml:space="preserve">zal </w:t>
      </w:r>
      <w:r w:rsidR="00BE5DB2">
        <w:t xml:space="preserve">waarschijnlijk ook niet </w:t>
      </w:r>
      <w:r w:rsidR="00B80566">
        <w:t>b</w:t>
      </w:r>
      <w:r w:rsidR="00BE5DB2">
        <w:t>ehaald worden in de nabije toekomst</w:t>
      </w:r>
      <w:r w:rsidR="00003EA8">
        <w:t xml:space="preserve">. </w:t>
      </w:r>
      <w:r w:rsidR="002A0AD2">
        <w:br/>
      </w:r>
      <w:r w:rsidR="004633FC">
        <w:t>In het rapport, hoofdstuk 7.4 (p. 344) worden drie scenario’s uitgewerkt, namelijk Nulgroei of bevolkingskrimp (p. 345), Snelle bevolkingsgroei (p. 346)</w:t>
      </w:r>
      <w:r w:rsidR="00B80566">
        <w:t xml:space="preserve"> en</w:t>
      </w:r>
      <w:r w:rsidR="004633FC">
        <w:t xml:space="preserve"> Gematigde bevolkingsgroei (p. 349). </w:t>
      </w:r>
      <w:r w:rsidR="002F5758">
        <w:t xml:space="preserve">In het rapport wordt rekening gehouden met de impact van migratie op de beschikbare zorg, het onderwijs, woningen, de economie, leefomgeving en de beschikbaarheid van publieke voorzieningen. </w:t>
      </w:r>
      <w:r w:rsidR="00060F99">
        <w:t xml:space="preserve">De centrale boodschap in het rapport is helder: </w:t>
      </w:r>
      <w:r w:rsidR="00060F99" w:rsidRPr="004633FC">
        <w:rPr>
          <w:i/>
          <w:iCs/>
        </w:rPr>
        <w:t>“matig migratie, maar voorkom krimp bevolking</w:t>
      </w:r>
      <w:r w:rsidR="00060F99">
        <w:t xml:space="preserve">” </w:t>
      </w:r>
      <w:hyperlink r:id="rId23" w:history="1">
        <w:r w:rsidR="00060F99" w:rsidRPr="004633FC">
          <w:rPr>
            <w:rStyle w:val="Hyperlink"/>
          </w:rPr>
          <w:t>(NOS, 15 januari 2024)</w:t>
        </w:r>
      </w:hyperlink>
      <w:r w:rsidR="00060F99">
        <w:t>.</w:t>
      </w:r>
      <w:r w:rsidR="00BD29DB">
        <w:t xml:space="preserve"> </w:t>
      </w:r>
      <w:r w:rsidR="001064EA">
        <w:t>Zowel te</w:t>
      </w:r>
      <w:r w:rsidR="002F5758">
        <w:t xml:space="preserve"> weinig migratie</w:t>
      </w:r>
      <w:r w:rsidR="001064EA">
        <w:t xml:space="preserve"> als te veel migratie</w:t>
      </w:r>
      <w:r w:rsidR="002F5758">
        <w:t xml:space="preserve"> heeft negatieve impact op de </w:t>
      </w:r>
      <w:r w:rsidR="001064EA">
        <w:t xml:space="preserve">beschikbaarheid van zorg, onderwijs, woningen, economische groei en publieke voorzieningen. </w:t>
      </w:r>
      <w:r w:rsidR="00CE1CAC">
        <w:t xml:space="preserve">Migratie is nodig om deze sectoren draaiende te houden. Te veel migratie zorgt ervoor dat deze sectoren worden overspoeld. </w:t>
      </w:r>
    </w:p>
    <w:p w14:paraId="080C371D" w14:textId="77777777" w:rsidR="001B27A9" w:rsidRDefault="001B27A9" w:rsidP="00661C24">
      <w:r>
        <w:t xml:space="preserve">Het rapport stelt gematigde groei voor: </w:t>
      </w:r>
    </w:p>
    <w:p w14:paraId="23983277" w14:textId="06B9047A" w:rsidR="001B27A9" w:rsidRDefault="001B27A9" w:rsidP="001B27A9">
      <w:pPr>
        <w:ind w:left="708"/>
      </w:pPr>
      <w:r w:rsidRPr="001B27A9">
        <w:rPr>
          <w:i/>
          <w:iCs/>
        </w:rPr>
        <w:t>“Voortbouwend op het onderzoek van de Adviesraad Migratie naar richtgetallen in het migratiebeleid en gezien de cumulatieve effecten van verschillende varianten van het migratiesaldo die de staatscommissie heeft doorgerekend, adviseert de staatscommissie om te komen tot een politieke vaststelling van dergelijke bandbreedtes voor verschillende typen migratie, sturend op een jaargemiddelde van het migratiesaldo dat past bij een gematigde groei van de bevolkingsomvang uitkomend op 19 tot 20 miljoen mensen in 2050.”</w:t>
      </w:r>
      <w:r>
        <w:rPr>
          <w:i/>
          <w:iCs/>
        </w:rPr>
        <w:t xml:space="preserve"> </w:t>
      </w:r>
      <w:r>
        <w:t>(Gematigde Groei, p. 366)</w:t>
      </w:r>
    </w:p>
    <w:p w14:paraId="04A33FE0" w14:textId="330082D3" w:rsidR="008F21B4" w:rsidRDefault="001B27A9" w:rsidP="00661C24">
      <w:pPr>
        <w:rPr>
          <w:i/>
          <w:iCs/>
        </w:rPr>
      </w:pPr>
      <w:r>
        <w:t xml:space="preserve">De realiteit is niet zwart/wit. Wonen, zorg én migratie staan niet los van elkaar. Er zijn grote personeelstekorten in onder andere juist de woningbouw en zorg. </w:t>
      </w:r>
      <w:hyperlink r:id="rId24" w:history="1">
        <w:r w:rsidRPr="001B27A9">
          <w:rPr>
            <w:rStyle w:val="Hyperlink"/>
          </w:rPr>
          <w:t>Arko Visser</w:t>
        </w:r>
      </w:hyperlink>
      <w:r>
        <w:t xml:space="preserve">, de baas van </w:t>
      </w:r>
      <w:hyperlink r:id="rId25" w:history="1">
        <w:r w:rsidRPr="001B27A9">
          <w:rPr>
            <w:rStyle w:val="Hyperlink"/>
          </w:rPr>
          <w:t>Bouwend Nederland</w:t>
        </w:r>
      </w:hyperlink>
      <w:r>
        <w:t xml:space="preserve">, geeft in het </w:t>
      </w:r>
      <w:hyperlink r:id="rId26" w:history="1">
        <w:r w:rsidRPr="001B27A9">
          <w:rPr>
            <w:rStyle w:val="Hyperlink"/>
          </w:rPr>
          <w:t>Brabants Dagblad</w:t>
        </w:r>
      </w:hyperlink>
      <w:r>
        <w:t xml:space="preserve"> aan dat de oplossing voor het structurele woningtekort en het bouwen van woningen geen plek krijgt in de politieke programma’s. De coronacrisis </w:t>
      </w:r>
      <w:r w:rsidR="00F814EA">
        <w:t xml:space="preserve">legde de tekorten in de zorg bloot. Het droeg </w:t>
      </w:r>
      <w:proofErr w:type="gramStart"/>
      <w:r w:rsidR="00F814EA">
        <w:t>tevens</w:t>
      </w:r>
      <w:proofErr w:type="gramEnd"/>
      <w:r w:rsidR="00F814EA">
        <w:t xml:space="preserve"> bij </w:t>
      </w:r>
      <w:r w:rsidR="00F814EA">
        <w:lastRenderedPageBreak/>
        <w:t xml:space="preserve">aan groeiende werkdruk en groeiende tekorten die in de </w:t>
      </w:r>
      <w:hyperlink r:id="rId27" w:history="1">
        <w:r w:rsidR="00F814EA" w:rsidRPr="00F814EA">
          <w:rPr>
            <w:rStyle w:val="Hyperlink"/>
          </w:rPr>
          <w:t>toekomst waarschijnlijk alleen maar gaan toenemen</w:t>
        </w:r>
      </w:hyperlink>
      <w:r>
        <w:t xml:space="preserve">. </w:t>
      </w:r>
      <w:r w:rsidR="006D6C75">
        <w:br/>
      </w:r>
      <w:r w:rsidR="004633FC">
        <w:t xml:space="preserve">De regering Schoof streeft naar </w:t>
      </w:r>
      <w:hyperlink r:id="rId28" w:history="1">
        <w:r w:rsidR="004633FC" w:rsidRPr="001B27A9">
          <w:rPr>
            <w:rStyle w:val="Hyperlink"/>
          </w:rPr>
          <w:t>het beperk</w:t>
        </w:r>
        <w:r w:rsidRPr="001B27A9">
          <w:rPr>
            <w:rStyle w:val="Hyperlink"/>
          </w:rPr>
          <w:t>en van de groei in lijn met het rapport</w:t>
        </w:r>
      </w:hyperlink>
      <w:r>
        <w:t>.</w:t>
      </w:r>
      <w:r w:rsidR="00F85CF5">
        <w:t xml:space="preserve"> Het beperken van de groei is niet hetzelfde als een asielstop zoals de</w:t>
      </w:r>
      <w:r w:rsidR="00C26BE6">
        <w:t xml:space="preserve"> </w:t>
      </w:r>
      <w:r w:rsidR="00F85CF5">
        <w:t>BBB en PVV aanhangen. Het is ook niet hetzelfde als het openstellen van de grenzen. Iets wat vaak aan links wordt gekoppeld. Het rapport stelt vier scenario</w:t>
      </w:r>
      <w:r w:rsidR="00D201D7">
        <w:t>’</w:t>
      </w:r>
      <w:r w:rsidR="00F85CF5">
        <w:t>s voor</w:t>
      </w:r>
      <w:r w:rsidR="00D201D7">
        <w:t xml:space="preserve"> ten aanzien van het migratiesaldo</w:t>
      </w:r>
      <w:r w:rsidR="00F85CF5">
        <w:t xml:space="preserve">, waarbij de gewenste bandbreedte tussen scenario twee en drie ligt: </w:t>
      </w:r>
      <w:r>
        <w:t xml:space="preserve"> </w:t>
      </w:r>
    </w:p>
    <w:p w14:paraId="3A73FA6D" w14:textId="1CEE7FA3" w:rsidR="00346A40" w:rsidRPr="008F21B4" w:rsidRDefault="008F21B4" w:rsidP="008F21B4">
      <w:pPr>
        <w:ind w:left="708"/>
        <w:rPr>
          <w:i/>
          <w:iCs/>
        </w:rPr>
      </w:pPr>
      <w:r w:rsidRPr="008F21B4">
        <w:rPr>
          <w:i/>
          <w:iCs/>
        </w:rPr>
        <w:t>“</w:t>
      </w:r>
      <w:r w:rsidR="00346A40" w:rsidRPr="008F21B4">
        <w:rPr>
          <w:i/>
          <w:iCs/>
        </w:rPr>
        <w:t>De tussenliggende migratiesaldi zien er als volgt uit: bij 20.000: 18 miljoen, bij 40.000: 18,8 miljoen, bij 100.000 21 miljoen en bij een migratiesaldo van 120.000: 21,7 miljoen.</w:t>
      </w:r>
      <w:r w:rsidRPr="008F21B4">
        <w:rPr>
          <w:i/>
          <w:iCs/>
        </w:rPr>
        <w:t>”</w:t>
      </w:r>
      <w:r w:rsidR="00346A40">
        <w:t xml:space="preserve"> </w:t>
      </w:r>
      <w:r>
        <w:t>(</w:t>
      </w:r>
      <w:proofErr w:type="gramStart"/>
      <w:r>
        <w:t>p.</w:t>
      </w:r>
      <w:proofErr w:type="gramEnd"/>
      <w:r>
        <w:t xml:space="preserve"> 102)</w:t>
      </w:r>
    </w:p>
    <w:p w14:paraId="1ECAEFB1" w14:textId="33E92841" w:rsidR="007930C9" w:rsidRDefault="00644122" w:rsidP="00661C24">
      <w:r>
        <w:t>Met andere woorden: e</w:t>
      </w:r>
      <w:r w:rsidR="004A5BA0">
        <w:t xml:space="preserve">en negatief migratiesaldo, waarbij de bevolking afneemt, heeft zeer ingrijpende gevolgen voor de houdbaarheid van zorg, wonen en vele andere sectoren. </w:t>
      </w:r>
      <w:r w:rsidR="00EC48BD">
        <w:t>Echter, d</w:t>
      </w:r>
      <w:r w:rsidR="00727B97">
        <w:t>e zorg</w:t>
      </w:r>
      <w:r w:rsidR="00EC48BD">
        <w:t>- en woonsector</w:t>
      </w:r>
      <w:r w:rsidR="00727B97">
        <w:t xml:space="preserve"> raken overbelast</w:t>
      </w:r>
      <w:r w:rsidR="009D66FD">
        <w:t xml:space="preserve">, wanneer er jaarlijks meer dan 100.000 mensen meer binnenkomen, dan dat er vertrekken. </w:t>
      </w:r>
      <w:r w:rsidR="00EC48BD">
        <w:t xml:space="preserve">Beide scenario’s pakken niet goed uit voor onze samenleving. </w:t>
      </w:r>
      <w:r w:rsidR="007930C9">
        <w:t xml:space="preserve">Het rapport </w:t>
      </w:r>
      <w:r w:rsidR="003135C5">
        <w:t xml:space="preserve">draagt niet voor niets de naam </w:t>
      </w:r>
      <w:r w:rsidR="007930C9">
        <w:t>gematigde groei</w:t>
      </w:r>
      <w:r w:rsidR="00A0775C">
        <w:t xml:space="preserve"> (p. 354):</w:t>
      </w:r>
    </w:p>
    <w:p w14:paraId="0958272D" w14:textId="20073162" w:rsidR="00C95AA8" w:rsidRDefault="00C95AA8" w:rsidP="00A0775C">
      <w:pPr>
        <w:ind w:left="708" w:firstLine="2"/>
        <w:rPr>
          <w:i/>
          <w:iCs/>
        </w:rPr>
      </w:pPr>
      <w:r w:rsidRPr="00A0775C">
        <w:rPr>
          <w:i/>
          <w:iCs/>
        </w:rPr>
        <w:t>“Een gematigde groei biedt perspectief om ruimte gericht vorm te geven, economie te ontwikkelen en publieke voorzieningen in stand te houden</w:t>
      </w:r>
      <w:r w:rsidRPr="00A0775C">
        <w:rPr>
          <w:rFonts w:ascii="Arial" w:hAnsi="Arial" w:cs="Arial"/>
          <w:i/>
          <w:iCs/>
        </w:rPr>
        <w:t> </w:t>
      </w:r>
      <w:r w:rsidRPr="00A0775C">
        <w:rPr>
          <w:rFonts w:ascii="Aptos" w:hAnsi="Aptos" w:cs="Aptos"/>
          <w:i/>
          <w:iCs/>
        </w:rPr>
        <w:t>–</w:t>
      </w:r>
      <w:r w:rsidRPr="00A0775C">
        <w:rPr>
          <w:rFonts w:ascii="Arial" w:hAnsi="Arial" w:cs="Arial"/>
          <w:i/>
          <w:iCs/>
        </w:rPr>
        <w:t> </w:t>
      </w:r>
      <w:r w:rsidRPr="00A0775C">
        <w:rPr>
          <w:i/>
          <w:iCs/>
        </w:rPr>
        <w:t>zonder daarbij de draagkracht van de samenleving uit het oog te verliezen. Dat is ook de achter grond van het oogmerk van brede welvaart en sociale cohesie, zoals in het vorige hoofdstuk is besproken.”</w:t>
      </w:r>
    </w:p>
    <w:p w14:paraId="183C2D72" w14:textId="197A7C35" w:rsidR="00EA41CE" w:rsidRDefault="00AF12C9" w:rsidP="00661C24">
      <w:r>
        <w:t xml:space="preserve">De commissie stuurt aan op </w:t>
      </w:r>
      <w:r w:rsidRPr="00AF12C9">
        <w:rPr>
          <w:i/>
          <w:iCs/>
        </w:rPr>
        <w:t>“een jaargemiddelde van het migratiesaldo dat past bij een gematigde groei van de bevolkingsomvang uitkomend op 19 tot 20 miljoen mensen in 2050”</w:t>
      </w:r>
      <w:r>
        <w:rPr>
          <w:i/>
          <w:iCs/>
        </w:rPr>
        <w:t xml:space="preserve"> </w:t>
      </w:r>
      <w:r>
        <w:t xml:space="preserve">(p. 366). </w:t>
      </w:r>
      <w:r w:rsidR="00491205">
        <w:t xml:space="preserve">Het gewenste </w:t>
      </w:r>
      <w:r w:rsidR="00E83C48">
        <w:t xml:space="preserve">migratiesaldo zit ergens tussen de 40.000 (18,8 miljoen inwoners in 2050) en </w:t>
      </w:r>
      <w:r w:rsidR="005C2F52">
        <w:t>100.000 (21 miljoen inwoners in 2050).</w:t>
      </w:r>
      <w:r w:rsidR="00477236">
        <w:t xml:space="preserve"> </w:t>
      </w:r>
      <w:hyperlink r:id="rId29" w:history="1">
        <w:r w:rsidR="00EA41CE" w:rsidRPr="00661C24">
          <w:rPr>
            <w:rStyle w:val="Hyperlink"/>
          </w:rPr>
          <w:t xml:space="preserve">Henri </w:t>
        </w:r>
        <w:proofErr w:type="spellStart"/>
        <w:r w:rsidR="00EA41CE" w:rsidRPr="00661C24">
          <w:rPr>
            <w:rStyle w:val="Hyperlink"/>
          </w:rPr>
          <w:t>Bontebal</w:t>
        </w:r>
        <w:proofErr w:type="spellEnd"/>
      </w:hyperlink>
      <w:r w:rsidR="00EA41CE">
        <w:t xml:space="preserve"> </w:t>
      </w:r>
      <w:r w:rsidR="001355E7">
        <w:t xml:space="preserve">van het CDA </w:t>
      </w:r>
      <w:r w:rsidR="00EA41CE">
        <w:t xml:space="preserve">haalt </w:t>
      </w:r>
      <w:r w:rsidR="001355E7">
        <w:t xml:space="preserve">in “gesprek” met Jack van Gelder </w:t>
      </w:r>
      <w:r w:rsidR="00EA41CE">
        <w:t xml:space="preserve">het rapport aan en stelt een migratiesaldo van rond de 60.000 per jaar voor. </w:t>
      </w:r>
      <w:r w:rsidR="001355E7">
        <w:t xml:space="preserve">Frans Timmermans </w:t>
      </w:r>
      <w:r w:rsidR="00FA0C30">
        <w:t xml:space="preserve">stelt </w:t>
      </w:r>
      <w:hyperlink r:id="rId30" w:history="1">
        <w:r w:rsidR="00FA0C30" w:rsidRPr="00FA0C30">
          <w:rPr>
            <w:rStyle w:val="Hyperlink"/>
          </w:rPr>
          <w:t>een bandbreedte tussen de 40.000 en 60.000 per jaar</w:t>
        </w:r>
      </w:hyperlink>
      <w:r w:rsidR="00FA0C30">
        <w:t xml:space="preserve"> voor.</w:t>
      </w:r>
      <w:r w:rsidR="00477236">
        <w:t xml:space="preserve"> Het NSC stelt een </w:t>
      </w:r>
      <w:hyperlink r:id="rId31" w:history="1">
        <w:r w:rsidR="00477236" w:rsidRPr="00477236">
          <w:rPr>
            <w:rStyle w:val="Hyperlink"/>
          </w:rPr>
          <w:t>migratiesaldo van 50.000</w:t>
        </w:r>
      </w:hyperlink>
      <w:r w:rsidR="00477236">
        <w:t xml:space="preserve"> voor. </w:t>
      </w:r>
      <w:r w:rsidR="00FA0C30">
        <w:t xml:space="preserve"> </w:t>
      </w:r>
    </w:p>
    <w:p w14:paraId="325AC9AF" w14:textId="2A543B38" w:rsidR="00661C24" w:rsidRDefault="007930C9" w:rsidP="00661C24">
      <w:r>
        <w:t xml:space="preserve">Daarnaast lijkt het begrip immigratie veelal onduidelijk. In Nederland omvat immigratie verschillende categorieën: arbeidsmigratie (laaglonenmigratie én hoogopgeleide expats), gezinshereniging, studiemigratie én asielmigratie. Asielmigratie omvat percentueel de kleinste groep. Het is belangrijk om de cijfers scherp te stellen, zodat een goede mening gevormd kan worden. </w:t>
      </w:r>
      <w:r w:rsidR="00CD1597">
        <w:t xml:space="preserve">In lijn met de staatscommissie nemen de regeringspartijen van de regering Schoof </w:t>
      </w:r>
      <w:hyperlink r:id="rId32" w:history="1">
        <w:r w:rsidR="00CD1597" w:rsidRPr="00450D58">
          <w:rPr>
            <w:rStyle w:val="Hyperlink"/>
          </w:rPr>
          <w:t>op pagina 5</w:t>
        </w:r>
      </w:hyperlink>
      <w:r w:rsidR="00CD1597">
        <w:t xml:space="preserve"> veel conclusies over</w:t>
      </w:r>
      <w:r w:rsidR="00A36F3C">
        <w:t xml:space="preserve">: </w:t>
      </w:r>
    </w:p>
    <w:p w14:paraId="28DDFE06" w14:textId="06401623" w:rsidR="00A36F3C" w:rsidRDefault="00A36F3C" w:rsidP="00A36F3C">
      <w:pPr>
        <w:ind w:left="708" w:firstLine="2"/>
        <w:rPr>
          <w:i/>
          <w:iCs/>
        </w:rPr>
      </w:pPr>
      <w:r w:rsidRPr="00A36F3C">
        <w:rPr>
          <w:i/>
          <w:iCs/>
        </w:rPr>
        <w:t xml:space="preserve">“Ten vijfde worden maatregelen getroffen om omvang en samenstelling van de overige migratie te beheersen. Het is hard nodig grip te krijgen op arbeidsmigratie. Arbeidsmigratie is nodig voor onze economie en ondernemers, maar het is nodig kritisch te blijven op wie wij nodig hebben en wie ons nodig heeft. Er komt een </w:t>
      </w:r>
      <w:r w:rsidRPr="00A36F3C">
        <w:rPr>
          <w:i/>
          <w:iCs/>
        </w:rPr>
        <w:lastRenderedPageBreak/>
        <w:t>afwegingskader voor de vestiging van nieuwe bedrijven, in relatie tot de benodigde arbeidsmigranten, ruimte en energie. Om arbeidsmigratie tegen lage lonen en onder slechte arbeidsomstandigheden te beperken worden maatregelen getroffen”</w:t>
      </w:r>
    </w:p>
    <w:p w14:paraId="18C1B8BC" w14:textId="77777777" w:rsidR="00060AFC" w:rsidRDefault="009909C4" w:rsidP="00450D58">
      <w:r>
        <w:t xml:space="preserve">Op pagina 10 en 11, onder het kopje land- en tuinbouw, wordt het volgende aangehaald: </w:t>
      </w:r>
      <w:r w:rsidRPr="009909C4">
        <w:rPr>
          <w:i/>
          <w:iCs/>
        </w:rPr>
        <w:t>“Er</w:t>
      </w:r>
      <w:r w:rsidR="00DD41F3" w:rsidRPr="009909C4">
        <w:rPr>
          <w:i/>
          <w:iCs/>
        </w:rPr>
        <w:t xml:space="preserve"> komt een apart innovatieprogramma voor robotisering gericht op het besparen van arbeidskrachten.</w:t>
      </w:r>
      <w:r w:rsidRPr="009909C4">
        <w:rPr>
          <w:i/>
          <w:iCs/>
        </w:rPr>
        <w:t>”</w:t>
      </w:r>
      <w:r>
        <w:rPr>
          <w:i/>
          <w:iCs/>
        </w:rPr>
        <w:t xml:space="preserve"> </w:t>
      </w:r>
      <w:r w:rsidR="004D30B3">
        <w:t xml:space="preserve"> </w:t>
      </w:r>
      <w:r w:rsidR="00060AFC">
        <w:t>Op pagina 381 adviseert d</w:t>
      </w:r>
      <w:r w:rsidR="004D30B3">
        <w:t xml:space="preserve">e staatscommissie </w:t>
      </w:r>
      <w:r w:rsidR="00060AFC">
        <w:t xml:space="preserve">om toe te werken naar gerichte arbeidsmigratie: </w:t>
      </w:r>
    </w:p>
    <w:p w14:paraId="0DE68E74" w14:textId="063755BE" w:rsidR="00060AFC" w:rsidRDefault="00060AFC" w:rsidP="00060AFC">
      <w:pPr>
        <w:ind w:left="708"/>
        <w:rPr>
          <w:i/>
          <w:iCs/>
        </w:rPr>
      </w:pPr>
      <w:r w:rsidRPr="00060AFC">
        <w:rPr>
          <w:i/>
          <w:iCs/>
        </w:rPr>
        <w:t>“Gerichte arbeidsmigratie heeft een positieve bijdrage aan de Nederlandse economie. De brede welvaart is echter in het geding wanneer arbeidsmigratie samenhangt met laagbetaald werk met onaanvaardbaar slechte arbeidsomstandigheden.”</w:t>
      </w:r>
    </w:p>
    <w:p w14:paraId="1ABC2EA0" w14:textId="6F73D9EC" w:rsidR="00605461" w:rsidRDefault="00C53787" w:rsidP="00060AFC">
      <w:r>
        <w:t xml:space="preserve">Het hoofdlijnenakkoord sluit hierbij aan, door te refereren aan het beperken van de arbeidsmigratie tegen lage lonen en onder slechte arbeidsomstandigheden. </w:t>
      </w:r>
      <w:r w:rsidR="004C35BD">
        <w:t xml:space="preserve">In gesprek met de econoom </w:t>
      </w:r>
      <w:hyperlink r:id="rId33" w:history="1">
        <w:r w:rsidR="004C35BD" w:rsidRPr="009F5DE1">
          <w:rPr>
            <w:rStyle w:val="Hyperlink"/>
          </w:rPr>
          <w:t>Olaf van Vliet van de Universiteit van Leiden</w:t>
        </w:r>
      </w:hyperlink>
      <w:r w:rsidR="004C35BD">
        <w:t xml:space="preserve"> wordt het </w:t>
      </w:r>
      <w:r w:rsidR="009F5DE1">
        <w:t>rapport van de staatscommissie aangehaald. De vraag die centraal staat, is de vraag naar de wenselijke economie voor Nederland. Een h</w:t>
      </w:r>
      <w:r w:rsidR="00FD4CA7">
        <w:t xml:space="preserve">oogproductieve economie </w:t>
      </w:r>
      <w:r w:rsidR="009F5DE1">
        <w:t>draagt bij aan meer welvaart. S</w:t>
      </w:r>
      <w:r w:rsidR="00FD4CA7">
        <w:t xml:space="preserve">ectoren met veel lage lonen zoals de tuinbouw </w:t>
      </w:r>
      <w:r w:rsidR="009F5DE1">
        <w:t xml:space="preserve">minder en zorgen ook voor meer overlast. De regering Schoof lijkt hier enigszins rekening mee te houden. Ze </w:t>
      </w:r>
      <w:r w:rsidR="009F365C">
        <w:t>erkennen het vraagstuk rondom lage</w:t>
      </w:r>
      <w:r w:rsidR="0031777D">
        <w:t xml:space="preserve"> lonen en slechte arbeids- en leefomstandigheden. </w:t>
      </w:r>
      <w:r w:rsidR="00D26F65">
        <w:t xml:space="preserve">De </w:t>
      </w:r>
      <w:r w:rsidR="00637C36">
        <w:t xml:space="preserve">innovatiesubsidie </w:t>
      </w:r>
      <w:r w:rsidR="00D26F65">
        <w:t>voor</w:t>
      </w:r>
      <w:r w:rsidR="00637C36">
        <w:t xml:space="preserve"> de land- en tuinbouw </w:t>
      </w:r>
      <w:r w:rsidR="00677B5B">
        <w:t xml:space="preserve">is begrijpelijk, gegeven de te verwachte noodzaak om te besparen op arbeidskosten. </w:t>
      </w:r>
      <w:r w:rsidR="00637C36">
        <w:t xml:space="preserve"> </w:t>
      </w:r>
    </w:p>
    <w:p w14:paraId="3BE8A7F6" w14:textId="77777777" w:rsidR="007930C9" w:rsidRDefault="007930C9" w:rsidP="00661C24">
      <w:r>
        <w:t xml:space="preserve">De NOS-app zet op de thema’s Wonen, Asiel en Zorg de cijfers op basis van het CBS op een rij. De stemmer krijgt hiermee inzicht in de feiten zoals deze door het CBS zijn verzameld. Daarnaast stimuleert de APP om de gebruiker actief mee te doen door te kijken of de eigen ideeën over de cijfers kloppen met de letterlijke cijfers. </w:t>
      </w:r>
    </w:p>
    <w:p w14:paraId="025D12A9" w14:textId="569A1EA9" w:rsidR="007930C9" w:rsidRDefault="007930C9" w:rsidP="007930C9">
      <w:r>
        <w:t xml:space="preserve">Het moet duidelijk zijn dat het hier niet gaat over de juiste morele, politieke opvattingen. Aan iedere keuze van iedere burger kunnen vanzelfsprekend andere argumenten ten grondslag liggen, dan de cijfers van het CBS of de staatscommissie demografische ontwikkelingen 2050. </w:t>
      </w:r>
      <w:r w:rsidR="005D79FF">
        <w:t xml:space="preserve">En politieke partijen laten zich ook niet alleen maar leiden door de cijfers. De cijfers en rapporten zeggen immers niet zoveel over talloze sociaal-culturele en sociaaleconomische vraagstukken rondom wonen, asiel en zorg. </w:t>
      </w:r>
      <w:hyperlink r:id="rId34" w:history="1">
        <w:r w:rsidR="0021320C" w:rsidRPr="0016189A">
          <w:rPr>
            <w:rStyle w:val="Hyperlink"/>
          </w:rPr>
          <w:t>Het Sociaal Cultureel Planbureau (SCP)</w:t>
        </w:r>
      </w:hyperlink>
      <w:r w:rsidR="0021320C">
        <w:t xml:space="preserve"> is </w:t>
      </w:r>
      <w:r w:rsidR="007207B2">
        <w:t xml:space="preserve">net als het CPB een organisatie die data verzamelt. Deze data betreffen onderwerpen over </w:t>
      </w:r>
      <w:r w:rsidR="0016189A">
        <w:t xml:space="preserve">hoe Nederlanders denken over </w:t>
      </w:r>
      <w:r w:rsidR="007207B2">
        <w:t xml:space="preserve">de sociaal-culturele en sociaaleconomische </w:t>
      </w:r>
      <w:r w:rsidR="0016189A">
        <w:t xml:space="preserve">staat van het land. Hun opvattingen, verwachtingen, angsten en wensen. </w:t>
      </w:r>
      <w:r w:rsidR="00576DD4">
        <w:t xml:space="preserve">Politieke partijen kunnen naast de economische argumenten nog veel meer andere argumenten aandragen voor politieke keuzes. </w:t>
      </w:r>
    </w:p>
    <w:p w14:paraId="39BC4B50" w14:textId="2E9BF070" w:rsidR="004633FC" w:rsidRPr="004633FC" w:rsidRDefault="007930C9" w:rsidP="00B353FA">
      <w:pPr>
        <w:ind w:left="1416" w:firstLine="708"/>
      </w:pPr>
      <w:hyperlink r:id="rId35" w:history="1">
        <w:r w:rsidRPr="007930C9">
          <w:rPr>
            <w:rStyle w:val="Hyperlink"/>
          </w:rPr>
          <w:t xml:space="preserve">KLIK HIER VOOR DE </w:t>
        </w:r>
        <w:r w:rsidR="00B353FA">
          <w:rPr>
            <w:rStyle w:val="Hyperlink"/>
          </w:rPr>
          <w:t>NOS-APP - VEEL PLEZIER!!!</w:t>
        </w:r>
      </w:hyperlink>
      <w:r w:rsidR="00B80566">
        <w:t xml:space="preserve"> </w:t>
      </w:r>
    </w:p>
    <w:p w14:paraId="20D21B81" w14:textId="7CDAD34C" w:rsidR="00022B56" w:rsidRDefault="00022B56" w:rsidP="00BE583F">
      <w:r w:rsidRPr="00022B56">
        <w:rPr>
          <w:noProof/>
        </w:rPr>
        <w:lastRenderedPageBreak/>
        <w:drawing>
          <wp:inline distT="0" distB="0" distL="0" distR="0" wp14:anchorId="16B13385" wp14:editId="634D384F">
            <wp:extent cx="3127620" cy="2895600"/>
            <wp:effectExtent l="0" t="0" r="0" b="0"/>
            <wp:docPr id="439986973"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86973" name="Afbeelding 1" descr="Afbeelding met tekst, schermopname, Lettertype, nummer&#10;&#10;Door AI gegenereerde inhoud is mogelijk onjuist."/>
                    <pic:cNvPicPr/>
                  </pic:nvPicPr>
                  <pic:blipFill>
                    <a:blip r:embed="rId36"/>
                    <a:stretch>
                      <a:fillRect/>
                    </a:stretch>
                  </pic:blipFill>
                  <pic:spPr>
                    <a:xfrm>
                      <a:off x="0" y="0"/>
                      <a:ext cx="3132143" cy="2899788"/>
                    </a:xfrm>
                    <a:prstGeom prst="rect">
                      <a:avLst/>
                    </a:prstGeom>
                  </pic:spPr>
                </pic:pic>
              </a:graphicData>
            </a:graphic>
          </wp:inline>
        </w:drawing>
      </w:r>
    </w:p>
    <w:p w14:paraId="64755038" w14:textId="7EE141D4" w:rsidR="00022B56" w:rsidRDefault="00022B56" w:rsidP="00BE583F">
      <w:r w:rsidRPr="00022B56">
        <w:rPr>
          <w:noProof/>
        </w:rPr>
        <w:drawing>
          <wp:inline distT="0" distB="0" distL="0" distR="0" wp14:anchorId="30378AB5" wp14:editId="4486B956">
            <wp:extent cx="3208816" cy="2959100"/>
            <wp:effectExtent l="0" t="0" r="0" b="0"/>
            <wp:docPr id="221057064"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57064" name="Afbeelding 1" descr="Afbeelding met tekst, schermopname, Lettertype, nummer&#10;&#10;Door AI gegenereerde inhoud is mogelijk onjuist."/>
                    <pic:cNvPicPr/>
                  </pic:nvPicPr>
                  <pic:blipFill>
                    <a:blip r:embed="rId37"/>
                    <a:stretch>
                      <a:fillRect/>
                    </a:stretch>
                  </pic:blipFill>
                  <pic:spPr>
                    <a:xfrm>
                      <a:off x="0" y="0"/>
                      <a:ext cx="3216741" cy="2966409"/>
                    </a:xfrm>
                    <a:prstGeom prst="rect">
                      <a:avLst/>
                    </a:prstGeom>
                  </pic:spPr>
                </pic:pic>
              </a:graphicData>
            </a:graphic>
          </wp:inline>
        </w:drawing>
      </w:r>
    </w:p>
    <w:p w14:paraId="41C2093D" w14:textId="5AF49C33" w:rsidR="00022B56" w:rsidRPr="00022B56" w:rsidRDefault="003C4131" w:rsidP="00BE583F">
      <w:r w:rsidRPr="003C4131">
        <w:rPr>
          <w:noProof/>
        </w:rPr>
        <w:lastRenderedPageBreak/>
        <w:drawing>
          <wp:inline distT="0" distB="0" distL="0" distR="0" wp14:anchorId="00BA17B8" wp14:editId="1C604051">
            <wp:extent cx="5760720" cy="5196205"/>
            <wp:effectExtent l="0" t="0" r="0" b="4445"/>
            <wp:docPr id="2624278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27846" name=""/>
                    <pic:cNvPicPr/>
                  </pic:nvPicPr>
                  <pic:blipFill>
                    <a:blip r:embed="rId38"/>
                    <a:stretch>
                      <a:fillRect/>
                    </a:stretch>
                  </pic:blipFill>
                  <pic:spPr>
                    <a:xfrm>
                      <a:off x="0" y="0"/>
                      <a:ext cx="5760720" cy="5196205"/>
                    </a:xfrm>
                    <a:prstGeom prst="rect">
                      <a:avLst/>
                    </a:prstGeom>
                  </pic:spPr>
                </pic:pic>
              </a:graphicData>
            </a:graphic>
          </wp:inline>
        </w:drawing>
      </w:r>
    </w:p>
    <w:p w14:paraId="02C3A46C" w14:textId="61818AE4" w:rsidR="00BE583F" w:rsidRPr="00022B56" w:rsidRDefault="00BE583F" w:rsidP="00BE583F"/>
    <w:p w14:paraId="3D9A867A" w14:textId="08549818" w:rsidR="00F2217F" w:rsidRDefault="003C4131">
      <w:r w:rsidRPr="003C4131">
        <w:rPr>
          <w:noProof/>
        </w:rPr>
        <w:lastRenderedPageBreak/>
        <w:drawing>
          <wp:inline distT="0" distB="0" distL="0" distR="0" wp14:anchorId="4962FB35" wp14:editId="59298A62">
            <wp:extent cx="5760720" cy="4713605"/>
            <wp:effectExtent l="0" t="0" r="0" b="0"/>
            <wp:docPr id="1808648539" name="Afbeelding 1" descr="Afbeelding met tekst, schermopname, lijn,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648539" name="Afbeelding 1" descr="Afbeelding met tekst, schermopname, lijn, diagram&#10;&#10;Door AI gegenereerde inhoud is mogelijk onjuist."/>
                    <pic:cNvPicPr/>
                  </pic:nvPicPr>
                  <pic:blipFill>
                    <a:blip r:embed="rId39"/>
                    <a:stretch>
                      <a:fillRect/>
                    </a:stretch>
                  </pic:blipFill>
                  <pic:spPr>
                    <a:xfrm>
                      <a:off x="0" y="0"/>
                      <a:ext cx="5760720" cy="4713605"/>
                    </a:xfrm>
                    <a:prstGeom prst="rect">
                      <a:avLst/>
                    </a:prstGeom>
                  </pic:spPr>
                </pic:pic>
              </a:graphicData>
            </a:graphic>
          </wp:inline>
        </w:drawing>
      </w:r>
    </w:p>
    <w:p w14:paraId="48813280" w14:textId="617F5A3F" w:rsidR="0061156C" w:rsidRDefault="0061156C">
      <w:r w:rsidRPr="0061156C">
        <w:rPr>
          <w:noProof/>
        </w:rPr>
        <w:drawing>
          <wp:inline distT="0" distB="0" distL="0" distR="0" wp14:anchorId="6DB600C5" wp14:editId="7A487641">
            <wp:extent cx="4858000" cy="3518081"/>
            <wp:effectExtent l="0" t="0" r="0" b="6350"/>
            <wp:docPr id="45855064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50645" name=""/>
                    <pic:cNvPicPr/>
                  </pic:nvPicPr>
                  <pic:blipFill>
                    <a:blip r:embed="rId40"/>
                    <a:stretch>
                      <a:fillRect/>
                    </a:stretch>
                  </pic:blipFill>
                  <pic:spPr>
                    <a:xfrm>
                      <a:off x="0" y="0"/>
                      <a:ext cx="4858000" cy="3518081"/>
                    </a:xfrm>
                    <a:prstGeom prst="rect">
                      <a:avLst/>
                    </a:prstGeom>
                  </pic:spPr>
                </pic:pic>
              </a:graphicData>
            </a:graphic>
          </wp:inline>
        </w:drawing>
      </w:r>
    </w:p>
    <w:p w14:paraId="00670EE7" w14:textId="553BDC5C" w:rsidR="00F4627F" w:rsidRDefault="00F4627F">
      <w:r w:rsidRPr="00F4627F">
        <w:rPr>
          <w:noProof/>
        </w:rPr>
        <w:lastRenderedPageBreak/>
        <w:drawing>
          <wp:inline distT="0" distB="0" distL="0" distR="0" wp14:anchorId="748199E6" wp14:editId="535E3BF4">
            <wp:extent cx="4667490" cy="3683189"/>
            <wp:effectExtent l="0" t="0" r="0" b="0"/>
            <wp:docPr id="241947427" name="Afbeelding 1" descr="Afbeelding met tekst, schermopname, nummer,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947427" name="Afbeelding 1" descr="Afbeelding met tekst, schermopname, nummer, Lettertype&#10;&#10;Door AI gegenereerde inhoud is mogelijk onjuist."/>
                    <pic:cNvPicPr/>
                  </pic:nvPicPr>
                  <pic:blipFill>
                    <a:blip r:embed="rId41"/>
                    <a:stretch>
                      <a:fillRect/>
                    </a:stretch>
                  </pic:blipFill>
                  <pic:spPr>
                    <a:xfrm>
                      <a:off x="0" y="0"/>
                      <a:ext cx="4667490" cy="3683189"/>
                    </a:xfrm>
                    <a:prstGeom prst="rect">
                      <a:avLst/>
                    </a:prstGeom>
                  </pic:spPr>
                </pic:pic>
              </a:graphicData>
            </a:graphic>
          </wp:inline>
        </w:drawing>
      </w:r>
    </w:p>
    <w:p w14:paraId="77E0E624" w14:textId="2092CF8F" w:rsidR="00983A15" w:rsidRPr="00022B56" w:rsidRDefault="00983A15">
      <w:r w:rsidRPr="00983A15">
        <w:rPr>
          <w:noProof/>
        </w:rPr>
        <w:drawing>
          <wp:inline distT="0" distB="0" distL="0" distR="0" wp14:anchorId="3B316403" wp14:editId="70D6905E">
            <wp:extent cx="5194567" cy="3429176"/>
            <wp:effectExtent l="0" t="0" r="6350" b="0"/>
            <wp:docPr id="209406940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069400" name=""/>
                    <pic:cNvPicPr/>
                  </pic:nvPicPr>
                  <pic:blipFill>
                    <a:blip r:embed="rId42"/>
                    <a:stretch>
                      <a:fillRect/>
                    </a:stretch>
                  </pic:blipFill>
                  <pic:spPr>
                    <a:xfrm>
                      <a:off x="0" y="0"/>
                      <a:ext cx="5194567" cy="3429176"/>
                    </a:xfrm>
                    <a:prstGeom prst="rect">
                      <a:avLst/>
                    </a:prstGeom>
                  </pic:spPr>
                </pic:pic>
              </a:graphicData>
            </a:graphic>
          </wp:inline>
        </w:drawing>
      </w:r>
    </w:p>
    <w:sectPr w:rsidR="00983A15" w:rsidRPr="00022B5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972129"/>
    <w:multiLevelType w:val="hybridMultilevel"/>
    <w:tmpl w:val="8286E1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7ECE6AD7"/>
    <w:multiLevelType w:val="hybridMultilevel"/>
    <w:tmpl w:val="75386D0E"/>
    <w:lvl w:ilvl="0" w:tplc="17B4A0E8">
      <w:start w:val="16"/>
      <w:numFmt w:val="bullet"/>
      <w:lvlText w:val="-"/>
      <w:lvlJc w:val="left"/>
      <w:pPr>
        <w:ind w:left="1070" w:hanging="360"/>
      </w:pPr>
      <w:rPr>
        <w:rFonts w:ascii="Aptos" w:eastAsiaTheme="minorHAnsi" w:hAnsi="Aptos" w:cstheme="minorBidi" w:hint="default"/>
      </w:rPr>
    </w:lvl>
    <w:lvl w:ilvl="1" w:tplc="04130003" w:tentative="1">
      <w:start w:val="1"/>
      <w:numFmt w:val="bullet"/>
      <w:lvlText w:val="o"/>
      <w:lvlJc w:val="left"/>
      <w:pPr>
        <w:ind w:left="1790" w:hanging="360"/>
      </w:pPr>
      <w:rPr>
        <w:rFonts w:ascii="Courier New" w:hAnsi="Courier New" w:cs="Courier New" w:hint="default"/>
      </w:rPr>
    </w:lvl>
    <w:lvl w:ilvl="2" w:tplc="04130005" w:tentative="1">
      <w:start w:val="1"/>
      <w:numFmt w:val="bullet"/>
      <w:lvlText w:val=""/>
      <w:lvlJc w:val="left"/>
      <w:pPr>
        <w:ind w:left="2510" w:hanging="360"/>
      </w:pPr>
      <w:rPr>
        <w:rFonts w:ascii="Wingdings" w:hAnsi="Wingdings" w:hint="default"/>
      </w:rPr>
    </w:lvl>
    <w:lvl w:ilvl="3" w:tplc="04130001" w:tentative="1">
      <w:start w:val="1"/>
      <w:numFmt w:val="bullet"/>
      <w:lvlText w:val=""/>
      <w:lvlJc w:val="left"/>
      <w:pPr>
        <w:ind w:left="3230" w:hanging="360"/>
      </w:pPr>
      <w:rPr>
        <w:rFonts w:ascii="Symbol" w:hAnsi="Symbol" w:hint="default"/>
      </w:rPr>
    </w:lvl>
    <w:lvl w:ilvl="4" w:tplc="04130003" w:tentative="1">
      <w:start w:val="1"/>
      <w:numFmt w:val="bullet"/>
      <w:lvlText w:val="o"/>
      <w:lvlJc w:val="left"/>
      <w:pPr>
        <w:ind w:left="3950" w:hanging="360"/>
      </w:pPr>
      <w:rPr>
        <w:rFonts w:ascii="Courier New" w:hAnsi="Courier New" w:cs="Courier New" w:hint="default"/>
      </w:rPr>
    </w:lvl>
    <w:lvl w:ilvl="5" w:tplc="04130005" w:tentative="1">
      <w:start w:val="1"/>
      <w:numFmt w:val="bullet"/>
      <w:lvlText w:val=""/>
      <w:lvlJc w:val="left"/>
      <w:pPr>
        <w:ind w:left="4670" w:hanging="360"/>
      </w:pPr>
      <w:rPr>
        <w:rFonts w:ascii="Wingdings" w:hAnsi="Wingdings" w:hint="default"/>
      </w:rPr>
    </w:lvl>
    <w:lvl w:ilvl="6" w:tplc="04130001" w:tentative="1">
      <w:start w:val="1"/>
      <w:numFmt w:val="bullet"/>
      <w:lvlText w:val=""/>
      <w:lvlJc w:val="left"/>
      <w:pPr>
        <w:ind w:left="5390" w:hanging="360"/>
      </w:pPr>
      <w:rPr>
        <w:rFonts w:ascii="Symbol" w:hAnsi="Symbol" w:hint="default"/>
      </w:rPr>
    </w:lvl>
    <w:lvl w:ilvl="7" w:tplc="04130003" w:tentative="1">
      <w:start w:val="1"/>
      <w:numFmt w:val="bullet"/>
      <w:lvlText w:val="o"/>
      <w:lvlJc w:val="left"/>
      <w:pPr>
        <w:ind w:left="6110" w:hanging="360"/>
      </w:pPr>
      <w:rPr>
        <w:rFonts w:ascii="Courier New" w:hAnsi="Courier New" w:cs="Courier New" w:hint="default"/>
      </w:rPr>
    </w:lvl>
    <w:lvl w:ilvl="8" w:tplc="04130005" w:tentative="1">
      <w:start w:val="1"/>
      <w:numFmt w:val="bullet"/>
      <w:lvlText w:val=""/>
      <w:lvlJc w:val="left"/>
      <w:pPr>
        <w:ind w:left="6830" w:hanging="360"/>
      </w:pPr>
      <w:rPr>
        <w:rFonts w:ascii="Wingdings" w:hAnsi="Wingdings" w:hint="default"/>
      </w:rPr>
    </w:lvl>
  </w:abstractNum>
  <w:num w:numId="1" w16cid:durableId="2071151009">
    <w:abstractNumId w:val="1"/>
  </w:num>
  <w:num w:numId="2" w16cid:durableId="8012726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17F"/>
    <w:rsid w:val="00003EA8"/>
    <w:rsid w:val="00022B56"/>
    <w:rsid w:val="00040B77"/>
    <w:rsid w:val="00060AFC"/>
    <w:rsid w:val="00060F99"/>
    <w:rsid w:val="000E66AF"/>
    <w:rsid w:val="001064EA"/>
    <w:rsid w:val="001355E7"/>
    <w:rsid w:val="0016189A"/>
    <w:rsid w:val="001B27A9"/>
    <w:rsid w:val="001B5406"/>
    <w:rsid w:val="0021320C"/>
    <w:rsid w:val="0026665F"/>
    <w:rsid w:val="00282157"/>
    <w:rsid w:val="002A0AD2"/>
    <w:rsid w:val="002E2410"/>
    <w:rsid w:val="002F5758"/>
    <w:rsid w:val="003135C5"/>
    <w:rsid w:val="0031777D"/>
    <w:rsid w:val="003255DE"/>
    <w:rsid w:val="00346A40"/>
    <w:rsid w:val="003A0085"/>
    <w:rsid w:val="003C4131"/>
    <w:rsid w:val="0041085E"/>
    <w:rsid w:val="00450D58"/>
    <w:rsid w:val="004633FC"/>
    <w:rsid w:val="00477236"/>
    <w:rsid w:val="00491205"/>
    <w:rsid w:val="004A5BA0"/>
    <w:rsid w:val="004C35BD"/>
    <w:rsid w:val="004D30B3"/>
    <w:rsid w:val="004E77A5"/>
    <w:rsid w:val="005008E9"/>
    <w:rsid w:val="005173B4"/>
    <w:rsid w:val="00517E0C"/>
    <w:rsid w:val="00554E94"/>
    <w:rsid w:val="00567B2B"/>
    <w:rsid w:val="00576DD4"/>
    <w:rsid w:val="00592F1C"/>
    <w:rsid w:val="005C2F52"/>
    <w:rsid w:val="005D2A17"/>
    <w:rsid w:val="005D79FF"/>
    <w:rsid w:val="00602A83"/>
    <w:rsid w:val="00605461"/>
    <w:rsid w:val="0061156C"/>
    <w:rsid w:val="00620028"/>
    <w:rsid w:val="00637C36"/>
    <w:rsid w:val="00643907"/>
    <w:rsid w:val="00644122"/>
    <w:rsid w:val="00661C24"/>
    <w:rsid w:val="00677B5B"/>
    <w:rsid w:val="006A29EE"/>
    <w:rsid w:val="006D6C75"/>
    <w:rsid w:val="007207B2"/>
    <w:rsid w:val="00727B97"/>
    <w:rsid w:val="00735F32"/>
    <w:rsid w:val="00755A38"/>
    <w:rsid w:val="007930C9"/>
    <w:rsid w:val="007A03A2"/>
    <w:rsid w:val="007D7E23"/>
    <w:rsid w:val="008614C9"/>
    <w:rsid w:val="00866DC8"/>
    <w:rsid w:val="00882982"/>
    <w:rsid w:val="008E1EE8"/>
    <w:rsid w:val="008F21B4"/>
    <w:rsid w:val="00907B4E"/>
    <w:rsid w:val="00910579"/>
    <w:rsid w:val="00940E48"/>
    <w:rsid w:val="00945B26"/>
    <w:rsid w:val="00983A15"/>
    <w:rsid w:val="009909C4"/>
    <w:rsid w:val="009D66FD"/>
    <w:rsid w:val="009F1AC6"/>
    <w:rsid w:val="009F365C"/>
    <w:rsid w:val="009F5382"/>
    <w:rsid w:val="009F5DE1"/>
    <w:rsid w:val="00A0775C"/>
    <w:rsid w:val="00A3103E"/>
    <w:rsid w:val="00A36F3C"/>
    <w:rsid w:val="00A53F90"/>
    <w:rsid w:val="00AA5B67"/>
    <w:rsid w:val="00AF12C9"/>
    <w:rsid w:val="00B2314B"/>
    <w:rsid w:val="00B353FA"/>
    <w:rsid w:val="00B37FF3"/>
    <w:rsid w:val="00B470CC"/>
    <w:rsid w:val="00B70F8F"/>
    <w:rsid w:val="00B80566"/>
    <w:rsid w:val="00BD29DB"/>
    <w:rsid w:val="00BE583F"/>
    <w:rsid w:val="00BE5DB2"/>
    <w:rsid w:val="00C26BE6"/>
    <w:rsid w:val="00C53787"/>
    <w:rsid w:val="00C95AA8"/>
    <w:rsid w:val="00C9748D"/>
    <w:rsid w:val="00CD1597"/>
    <w:rsid w:val="00CE1CAC"/>
    <w:rsid w:val="00D1141D"/>
    <w:rsid w:val="00D201D7"/>
    <w:rsid w:val="00D26F65"/>
    <w:rsid w:val="00D30BE1"/>
    <w:rsid w:val="00DB5D45"/>
    <w:rsid w:val="00DC070E"/>
    <w:rsid w:val="00DD0952"/>
    <w:rsid w:val="00DD41F3"/>
    <w:rsid w:val="00DE0D39"/>
    <w:rsid w:val="00E156B6"/>
    <w:rsid w:val="00E16DED"/>
    <w:rsid w:val="00E201F4"/>
    <w:rsid w:val="00E54B1D"/>
    <w:rsid w:val="00E5799E"/>
    <w:rsid w:val="00E83C48"/>
    <w:rsid w:val="00E86581"/>
    <w:rsid w:val="00EA41CE"/>
    <w:rsid w:val="00EB668B"/>
    <w:rsid w:val="00EC34AC"/>
    <w:rsid w:val="00EC48BD"/>
    <w:rsid w:val="00EE4F9C"/>
    <w:rsid w:val="00F14379"/>
    <w:rsid w:val="00F16A89"/>
    <w:rsid w:val="00F2217F"/>
    <w:rsid w:val="00F4620D"/>
    <w:rsid w:val="00F4627F"/>
    <w:rsid w:val="00F814EA"/>
    <w:rsid w:val="00F85CF5"/>
    <w:rsid w:val="00FA0C30"/>
    <w:rsid w:val="00FA64C3"/>
    <w:rsid w:val="00FD4CA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A8932"/>
  <w15:chartTrackingRefBased/>
  <w15:docId w15:val="{B7DE2992-B2ED-4252-B0CF-5A08273F5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221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F2217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F2217F"/>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F2217F"/>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F2217F"/>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F2217F"/>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F2217F"/>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F2217F"/>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F2217F"/>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2217F"/>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F2217F"/>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F2217F"/>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F2217F"/>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F2217F"/>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F2217F"/>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F2217F"/>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F2217F"/>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F2217F"/>
    <w:rPr>
      <w:rFonts w:eastAsiaTheme="majorEastAsia" w:cstheme="majorBidi"/>
      <w:color w:val="272727" w:themeColor="text1" w:themeTint="D8"/>
    </w:rPr>
  </w:style>
  <w:style w:type="paragraph" w:styleId="Titel">
    <w:name w:val="Title"/>
    <w:basedOn w:val="Standaard"/>
    <w:next w:val="Standaard"/>
    <w:link w:val="TitelChar"/>
    <w:uiPriority w:val="10"/>
    <w:qFormat/>
    <w:rsid w:val="00F221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2217F"/>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F2217F"/>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F2217F"/>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F2217F"/>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F2217F"/>
    <w:rPr>
      <w:i/>
      <w:iCs/>
      <w:color w:val="404040" w:themeColor="text1" w:themeTint="BF"/>
    </w:rPr>
  </w:style>
  <w:style w:type="paragraph" w:styleId="Lijstalinea">
    <w:name w:val="List Paragraph"/>
    <w:basedOn w:val="Standaard"/>
    <w:uiPriority w:val="34"/>
    <w:qFormat/>
    <w:rsid w:val="00F2217F"/>
    <w:pPr>
      <w:ind w:left="720"/>
      <w:contextualSpacing/>
    </w:pPr>
  </w:style>
  <w:style w:type="character" w:styleId="Intensievebenadrukking">
    <w:name w:val="Intense Emphasis"/>
    <w:basedOn w:val="Standaardalinea-lettertype"/>
    <w:uiPriority w:val="21"/>
    <w:qFormat/>
    <w:rsid w:val="00F2217F"/>
    <w:rPr>
      <w:i/>
      <w:iCs/>
      <w:color w:val="0F4761" w:themeColor="accent1" w:themeShade="BF"/>
    </w:rPr>
  </w:style>
  <w:style w:type="paragraph" w:styleId="Duidelijkcitaat">
    <w:name w:val="Intense Quote"/>
    <w:basedOn w:val="Standaard"/>
    <w:next w:val="Standaard"/>
    <w:link w:val="DuidelijkcitaatChar"/>
    <w:uiPriority w:val="30"/>
    <w:qFormat/>
    <w:rsid w:val="00F221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F2217F"/>
    <w:rPr>
      <w:i/>
      <w:iCs/>
      <w:color w:val="0F4761" w:themeColor="accent1" w:themeShade="BF"/>
    </w:rPr>
  </w:style>
  <w:style w:type="character" w:styleId="Intensieveverwijzing">
    <w:name w:val="Intense Reference"/>
    <w:basedOn w:val="Standaardalinea-lettertype"/>
    <w:uiPriority w:val="32"/>
    <w:qFormat/>
    <w:rsid w:val="00F2217F"/>
    <w:rPr>
      <w:b/>
      <w:bCs/>
      <w:smallCaps/>
      <w:color w:val="0F4761" w:themeColor="accent1" w:themeShade="BF"/>
      <w:spacing w:val="5"/>
    </w:rPr>
  </w:style>
  <w:style w:type="character" w:styleId="Hyperlink">
    <w:name w:val="Hyperlink"/>
    <w:basedOn w:val="Standaardalinea-lettertype"/>
    <w:uiPriority w:val="99"/>
    <w:unhideWhenUsed/>
    <w:rsid w:val="00022B56"/>
    <w:rPr>
      <w:color w:val="467886" w:themeColor="hyperlink"/>
      <w:u w:val="single"/>
    </w:rPr>
  </w:style>
  <w:style w:type="character" w:styleId="Onopgelostemelding">
    <w:name w:val="Unresolved Mention"/>
    <w:basedOn w:val="Standaardalinea-lettertype"/>
    <w:uiPriority w:val="99"/>
    <w:semiHidden/>
    <w:unhideWhenUsed/>
    <w:rsid w:val="00022B56"/>
    <w:rPr>
      <w:color w:val="605E5C"/>
      <w:shd w:val="clear" w:color="auto" w:fill="E1DFDD"/>
    </w:rPr>
  </w:style>
  <w:style w:type="character" w:styleId="GevolgdeHyperlink">
    <w:name w:val="FollowedHyperlink"/>
    <w:basedOn w:val="Standaardalinea-lettertype"/>
    <w:uiPriority w:val="99"/>
    <w:semiHidden/>
    <w:unhideWhenUsed/>
    <w:rsid w:val="004633F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092509">
      <w:bodyDiv w:val="1"/>
      <w:marLeft w:val="0"/>
      <w:marRight w:val="0"/>
      <w:marTop w:val="0"/>
      <w:marBottom w:val="0"/>
      <w:divBdr>
        <w:top w:val="none" w:sz="0" w:space="0" w:color="auto"/>
        <w:left w:val="none" w:sz="0" w:space="0" w:color="auto"/>
        <w:bottom w:val="none" w:sz="0" w:space="0" w:color="auto"/>
        <w:right w:val="none" w:sz="0" w:space="0" w:color="auto"/>
      </w:divBdr>
    </w:div>
    <w:div w:id="1305311297">
      <w:bodyDiv w:val="1"/>
      <w:marLeft w:val="0"/>
      <w:marRight w:val="0"/>
      <w:marTop w:val="0"/>
      <w:marBottom w:val="0"/>
      <w:divBdr>
        <w:top w:val="none" w:sz="0" w:space="0" w:color="auto"/>
        <w:left w:val="none" w:sz="0" w:space="0" w:color="auto"/>
        <w:bottom w:val="none" w:sz="0" w:space="0" w:color="auto"/>
        <w:right w:val="none" w:sz="0" w:space="0" w:color="auto"/>
      </w:divBdr>
    </w:div>
    <w:div w:id="1362781645">
      <w:bodyDiv w:val="1"/>
      <w:marLeft w:val="0"/>
      <w:marRight w:val="0"/>
      <w:marTop w:val="0"/>
      <w:marBottom w:val="0"/>
      <w:divBdr>
        <w:top w:val="none" w:sz="0" w:space="0" w:color="auto"/>
        <w:left w:val="none" w:sz="0" w:space="0" w:color="auto"/>
        <w:bottom w:val="none" w:sz="0" w:space="0" w:color="auto"/>
        <w:right w:val="none" w:sz="0" w:space="0" w:color="auto"/>
      </w:divBdr>
    </w:div>
    <w:div w:id="1690714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ji.nl/cijfers/geboorte" TargetMode="External"/><Relationship Id="rId18" Type="http://schemas.openxmlformats.org/officeDocument/2006/relationships/hyperlink" Target="https://www.ing.nl/zakelijk/sector/building-and-construction/themastudie-nederlanders-wonen-europees-gezien-ruim-maar-relatief-wel-duur" TargetMode="External"/><Relationship Id="rId26" Type="http://schemas.openxmlformats.org/officeDocument/2006/relationships/hyperlink" Target="https://www.bd.nl/politiek/om-huizen-te-bouwen-is-een-ding-nodig-maar-dat-staat-in-geen-enkel-verkiezingsprogramma~a730b2a5/" TargetMode="External"/><Relationship Id="rId39" Type="http://schemas.openxmlformats.org/officeDocument/2006/relationships/image" Target="media/image4.png"/><Relationship Id="rId21" Type="http://schemas.openxmlformats.org/officeDocument/2006/relationships/hyperlink" Target="https://www.agritrader.org/nieuws-events/nederland-heeft-duurste-landbouwgrond-van-europa" TargetMode="External"/><Relationship Id="rId34" Type="http://schemas.openxmlformats.org/officeDocument/2006/relationships/hyperlink" Target="https://www.scp.nl/" TargetMode="External"/><Relationship Id="rId42" Type="http://schemas.openxmlformats.org/officeDocument/2006/relationships/image" Target="media/image7.png"/><Relationship Id="rId7" Type="http://schemas.openxmlformats.org/officeDocument/2006/relationships/hyperlink" Target="https://eenvandaag.avrotros.nl/opiniepanel/uitslagen/dit-zijn-volgens-kiezers-de-belangrijkste-verkiezingsthemas-en-de-partijen-waar-ze-dan-aan-denken-160706" TargetMode="External"/><Relationship Id="rId2" Type="http://schemas.openxmlformats.org/officeDocument/2006/relationships/styles" Target="styles.xml"/><Relationship Id="rId16" Type="http://schemas.openxmlformats.org/officeDocument/2006/relationships/hyperlink" Target="https://nos.nl/nieuwsuur/artikel/2505083-vergrijzing-dwingt-tot-harde-keuzes-in-de-zorg-niet-alleen-arbeidsmigratie" TargetMode="External"/><Relationship Id="rId20" Type="http://schemas.openxmlformats.org/officeDocument/2006/relationships/hyperlink" Target="https://www.landbouwleven.be/18039/article/2023-11-09/geen-nieuwe-natuurgebieden-aanleggen" TargetMode="External"/><Relationship Id="rId29" Type="http://schemas.openxmlformats.org/officeDocument/2006/relationships/hyperlink" Target="https://www.youtube.com/watch?v=Z2qxiWucb10&amp;t=1s" TargetMode="External"/><Relationship Id="rId41"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s://www.hartvannederland.nl/het-beste-van-hart/panel/artikelen/verkiezingen-2025-themas-wonen-woningcrisis-asiel-migratie-zorg" TargetMode="External"/><Relationship Id="rId11" Type="http://schemas.openxmlformats.org/officeDocument/2006/relationships/hyperlink" Target="https://www.rijksoverheid.nl/documenten/rapporten/2024/01/15/gematigde-groei-rapport-van-de-staatscommissie-demografische-ontwikkleingen-2050" TargetMode="External"/><Relationship Id="rId24" Type="http://schemas.openxmlformats.org/officeDocument/2006/relationships/hyperlink" Target="https://www.bd.nl/politiek/om-huizen-te-bouwen-is-een-ding-nodig-maar-dat-staat-in-geen-enkel-verkiezingsprogramma~a730b2a5/" TargetMode="External"/><Relationship Id="rId32" Type="http://schemas.openxmlformats.org/officeDocument/2006/relationships/hyperlink" Target="https://www.kabinetsformatie2023.nl/binaries/kabinetsformatie/documenten/publicaties/2024/05/16/hoofdlijnenakkoord-tussen-de-fracties-van-pvv-vvd-nsc-en-bbb/20240515+Hoofdlijnenakkoord+PVV+VVD+NSC+BBB.pdf" TargetMode="External"/><Relationship Id="rId37" Type="http://schemas.openxmlformats.org/officeDocument/2006/relationships/image" Target="media/image2.png"/><Relationship Id="rId40" Type="http://schemas.openxmlformats.org/officeDocument/2006/relationships/image" Target="media/image5.png"/><Relationship Id="rId5" Type="http://schemas.openxmlformats.org/officeDocument/2006/relationships/hyperlink" Target="https://www.rtl.nl/nieuws/rtl-nieuwspanel/artikel/5519085/woningmarkt-belangrijkste-thema-verkiezingen-defensie-sterk" TargetMode="External"/><Relationship Id="rId15" Type="http://schemas.openxmlformats.org/officeDocument/2006/relationships/hyperlink" Target="https://www.youtube.com/watch?v=Z8GfwWTVU8E&amp;t=2939s" TargetMode="External"/><Relationship Id="rId23" Type="http://schemas.openxmlformats.org/officeDocument/2006/relationships/hyperlink" Target="https://nos.nl/artikel/2505011-advies-aan-regering-matig-migratie-maar-voorkom-krimp-bevolking" TargetMode="External"/><Relationship Id="rId28" Type="http://schemas.openxmlformats.org/officeDocument/2006/relationships/hyperlink" Target="https://nos.nl/artikel/2547056-kamer-en-kabinet-willen-gematigde-bevolkingsgroei-maar-het-is-de-vraag-hoe" TargetMode="External"/><Relationship Id="rId36" Type="http://schemas.openxmlformats.org/officeDocument/2006/relationships/image" Target="media/image1.png"/><Relationship Id="rId10" Type="http://schemas.openxmlformats.org/officeDocument/2006/relationships/hyperlink" Target="https://www.cbs.nl/-/media/_excel/2023/46/tabel-kiesgerechtigde-bevolking-1-oktober-2023.xlsx" TargetMode="External"/><Relationship Id="rId19" Type="http://schemas.openxmlformats.org/officeDocument/2006/relationships/hyperlink" Target="https://app.nos.nl/op3/europa-in-cijfers/?thema=landbouw" TargetMode="External"/><Relationship Id="rId31" Type="http://schemas.openxmlformats.org/officeDocument/2006/relationships/hyperlink" Target="https://www.volkskrant.nl/politiek/minimumloon-van-18-euro-en-migratiesaldo-van-50-duizend-nsc-kiest-voor-veilige-koers-in-partijprogramma~b4b0b39c/"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pecials.app.nos.nl/dataverhalen-tk2025/migratie/" TargetMode="External"/><Relationship Id="rId14" Type="http://schemas.openxmlformats.org/officeDocument/2006/relationships/hyperlink" Target="https://nos.nl/artikel/2436308-waarom-het-geboortecijfer-almaar-daalt-en-de-wereldbevolking-nog-groeit" TargetMode="External"/><Relationship Id="rId22" Type="http://schemas.openxmlformats.org/officeDocument/2006/relationships/hyperlink" Target="https://nos.nl/nieuwsuur/video/2537154-100-000-nieuwe-woningen-per-jaar-voorlopig-niet-haalbaar" TargetMode="External"/><Relationship Id="rId27" Type="http://schemas.openxmlformats.org/officeDocument/2006/relationships/hyperlink" Target="https://www.cbs.nl/nl-nl/dossier/arbeidsmarkt-zorg-en-welzijn" TargetMode="External"/><Relationship Id="rId30" Type="http://schemas.openxmlformats.org/officeDocument/2006/relationships/hyperlink" Target="https://www.ad.nl/politiek/groenlinks-pvda-neemt-voor-het-eerst-migratiesaldo-op-in-verkiezingsprogramma-maximaal-60-000-mensen-erbij-per-jaar~a1f7c39b/?referrer=https%3A%2F%2Fwww.google.com%2F" TargetMode="External"/><Relationship Id="rId35" Type="http://schemas.openxmlformats.org/officeDocument/2006/relationships/hyperlink" Target="https://specials.app.nos.nl/dataverhalen-tk2025/" TargetMode="External"/><Relationship Id="rId43" Type="http://schemas.openxmlformats.org/officeDocument/2006/relationships/fontTable" Target="fontTable.xml"/><Relationship Id="rId8" Type="http://schemas.openxmlformats.org/officeDocument/2006/relationships/hyperlink" Target="https://www.cbs.nl/-/media/_excel/2023/46/tabel-kiesgerechtigde-bevolking-1-oktober-2023.xlsx" TargetMode="External"/><Relationship Id="rId3" Type="http://schemas.openxmlformats.org/officeDocument/2006/relationships/settings" Target="settings.xml"/><Relationship Id="rId12" Type="http://schemas.openxmlformats.org/officeDocument/2006/relationships/hyperlink" Target="https://www.cbs.nl/nl-nl/longread/statistische-trends/2023/dalende-vruchtbaarheid-sinds-2010-de-rol-van-opleidingsniveau?onepage=true" TargetMode="External"/><Relationship Id="rId17" Type="http://schemas.openxmlformats.org/officeDocument/2006/relationships/hyperlink" Target="https://www.cbs.nl/nl-nl/nieuws/2024/51/prognose-huishoudensgroei-in-de-toekomst-vooral-door-meer-alleenstaanden" TargetMode="External"/><Relationship Id="rId25" Type="http://schemas.openxmlformats.org/officeDocument/2006/relationships/hyperlink" Target="https://www.bouwendnederland.nl/" TargetMode="External"/><Relationship Id="rId33" Type="http://schemas.openxmlformats.org/officeDocument/2006/relationships/hyperlink" Target="https://www.universiteitleiden.nl/nieuws/2024/11/de-voor--en-nadelen-van-arbeidsmigratie-zijn-ongelijk-verdeeld" TargetMode="External"/><Relationship Id="rId38"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2376</Words>
  <Characters>13072</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Shared Service Center</Company>
  <LinksUpToDate>false</LinksUpToDate>
  <CharactersWithSpaces>15418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Robert-Jan Gruijthuijzen | Udens College</dc:creator>
  <cp:keywords/>
  <dc:description/>
  <cp:lastModifiedBy>Robert-Jan Gruijthuijzen | Udens College</cp:lastModifiedBy>
  <cp:revision>2</cp:revision>
  <dcterms:created xsi:type="dcterms:W3CDTF">2025-09-28T17:54:00Z</dcterms:created>
  <dcterms:modified xsi:type="dcterms:W3CDTF">2025-09-28T17:54:00Z</dcterms:modified>
</cp:coreProperties>
</file>